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7203D" w14:textId="103C8926" w:rsidR="00EE456B" w:rsidRDefault="007F2758" w:rsidP="00503EDA">
      <w:pPr>
        <w:keepNext/>
        <w:keepLines/>
        <w:spacing w:after="120" w:line="360" w:lineRule="auto"/>
        <w:ind w:left="709"/>
        <w:contextualSpacing/>
        <w:outlineLvl w:val="0"/>
        <w:rPr>
          <w:rFonts w:ascii="Times New Roman" w:eastAsia="Bookman Old Style" w:hAnsi="Times New Roman" w:cs="Times New Roman"/>
          <w:u w:val="single"/>
        </w:rPr>
      </w:pPr>
      <w:r>
        <w:rPr>
          <w:rFonts w:ascii="Times New Roman" w:eastAsia="Bookman Old Style" w:hAnsi="Times New Roman" w:cs="Times New Roman"/>
          <w:u w:val="single"/>
        </w:rPr>
        <w:t>P</w:t>
      </w:r>
      <w:r w:rsidR="00EE456B" w:rsidRPr="00E3507B">
        <w:rPr>
          <w:rFonts w:ascii="Times New Roman" w:eastAsia="Bookman Old Style" w:hAnsi="Times New Roman" w:cs="Times New Roman"/>
          <w:u w:val="single"/>
        </w:rPr>
        <w:t>ytania z zakresu prawa cywilnego oraz postępowania cywilnego</w:t>
      </w:r>
    </w:p>
    <w:p w14:paraId="67177971" w14:textId="77777777" w:rsidR="007F2758" w:rsidRPr="00E3507B" w:rsidRDefault="007F2758" w:rsidP="00503EDA">
      <w:pPr>
        <w:keepNext/>
        <w:keepLines/>
        <w:spacing w:after="120" w:line="360" w:lineRule="auto"/>
        <w:ind w:left="709"/>
        <w:contextualSpacing/>
        <w:outlineLvl w:val="0"/>
        <w:rPr>
          <w:rFonts w:ascii="Times New Roman" w:eastAsia="Bookman Old Style" w:hAnsi="Times New Roman" w:cs="Times New Roman"/>
          <w:bCs/>
          <w:color w:val="auto"/>
        </w:rPr>
      </w:pPr>
    </w:p>
    <w:p w14:paraId="6B4C6B45" w14:textId="77777777" w:rsidR="00EE456B" w:rsidRPr="00E3507B" w:rsidRDefault="00EE456B" w:rsidP="00503EDA">
      <w:pPr>
        <w:numPr>
          <w:ilvl w:val="0"/>
          <w:numId w:val="6"/>
        </w:numPr>
        <w:tabs>
          <w:tab w:val="left" w:pos="1214"/>
        </w:tabs>
        <w:spacing w:after="120" w:line="360" w:lineRule="auto"/>
        <w:ind w:left="709" w:right="260"/>
        <w:contextualSpacing/>
        <w:rPr>
          <w:rFonts w:ascii="Times New Roman" w:eastAsia="Bookman Old Style" w:hAnsi="Times New Roman" w:cs="Times New Roman"/>
          <w:bCs/>
          <w:color w:val="auto"/>
        </w:rPr>
      </w:pPr>
      <w:r w:rsidRPr="00E3507B">
        <w:rPr>
          <w:rFonts w:ascii="Times New Roman" w:eastAsia="Bookman Old Style" w:hAnsi="Times New Roman" w:cs="Times New Roman"/>
          <w:bCs/>
          <w:color w:val="auto"/>
        </w:rPr>
        <w:t>Czynność prawna dokonana przez osobę, która nie ma zdolności do czynności prawnych, jest co do zasady:</w:t>
      </w:r>
    </w:p>
    <w:p w14:paraId="6DBC2F39" w14:textId="77777777" w:rsidR="00EE456B" w:rsidRPr="00E3507B" w:rsidRDefault="00EE456B" w:rsidP="00503EDA">
      <w:pPr>
        <w:numPr>
          <w:ilvl w:val="0"/>
          <w:numId w:val="7"/>
        </w:numPr>
        <w:tabs>
          <w:tab w:val="left" w:pos="174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ważna, choć bezskuteczna,</w:t>
      </w:r>
    </w:p>
    <w:p w14:paraId="676C92F8" w14:textId="77777777" w:rsidR="00EE456B" w:rsidRPr="00E3507B" w:rsidRDefault="00EE456B" w:rsidP="00503EDA">
      <w:pPr>
        <w:numPr>
          <w:ilvl w:val="0"/>
          <w:numId w:val="7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nieważna,</w:t>
      </w:r>
    </w:p>
    <w:p w14:paraId="4B4F1846" w14:textId="77777777" w:rsidR="00EE456B" w:rsidRPr="00E3507B" w:rsidRDefault="00EE456B" w:rsidP="00503EDA">
      <w:pPr>
        <w:numPr>
          <w:ilvl w:val="0"/>
          <w:numId w:val="7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ważna, lecz za zgodą przedstawiciela ustawowego.</w:t>
      </w:r>
    </w:p>
    <w:p w14:paraId="346309A6" w14:textId="77777777" w:rsidR="00EE456B" w:rsidRPr="00E3507B" w:rsidRDefault="00EE456B" w:rsidP="00503EDA">
      <w:pPr>
        <w:numPr>
          <w:ilvl w:val="0"/>
          <w:numId w:val="6"/>
        </w:numPr>
        <w:tabs>
          <w:tab w:val="left" w:pos="125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bCs/>
          <w:color w:val="auto"/>
        </w:rPr>
      </w:pPr>
      <w:r w:rsidRPr="00E3507B">
        <w:rPr>
          <w:rFonts w:ascii="Times New Roman" w:eastAsia="Bookman Old Style" w:hAnsi="Times New Roman" w:cs="Times New Roman"/>
          <w:bCs/>
          <w:color w:val="auto"/>
        </w:rPr>
        <w:t>Osobą prawną nie jest:</w:t>
      </w:r>
    </w:p>
    <w:p w14:paraId="56760570" w14:textId="77777777" w:rsidR="00EE456B" w:rsidRPr="00E3507B" w:rsidRDefault="00EE456B" w:rsidP="00503EDA">
      <w:pPr>
        <w:numPr>
          <w:ilvl w:val="0"/>
          <w:numId w:val="8"/>
        </w:numPr>
        <w:tabs>
          <w:tab w:val="left" w:pos="174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Skarb Państwa,</w:t>
      </w:r>
    </w:p>
    <w:p w14:paraId="08BB7541" w14:textId="77777777" w:rsidR="00EE456B" w:rsidRPr="00E3507B" w:rsidRDefault="00EE456B" w:rsidP="00503EDA">
      <w:pPr>
        <w:numPr>
          <w:ilvl w:val="0"/>
          <w:numId w:val="8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spółdzielnia mieszkaniowa,</w:t>
      </w:r>
    </w:p>
    <w:p w14:paraId="1A8DF0BE" w14:textId="77777777" w:rsidR="00EE456B" w:rsidRPr="00E3507B" w:rsidRDefault="00EE456B" w:rsidP="00503EDA">
      <w:pPr>
        <w:numPr>
          <w:ilvl w:val="0"/>
          <w:numId w:val="8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wspólnota mieszkaniowa.</w:t>
      </w:r>
    </w:p>
    <w:p w14:paraId="5259705B" w14:textId="77777777" w:rsidR="00EE456B" w:rsidRPr="00E3507B" w:rsidRDefault="00EE456B" w:rsidP="00503EDA">
      <w:pPr>
        <w:numPr>
          <w:ilvl w:val="0"/>
          <w:numId w:val="6"/>
        </w:numPr>
        <w:tabs>
          <w:tab w:val="left" w:pos="1252"/>
        </w:tabs>
        <w:spacing w:after="120" w:line="360" w:lineRule="auto"/>
        <w:ind w:left="709" w:right="260"/>
        <w:contextualSpacing/>
        <w:rPr>
          <w:rFonts w:ascii="Times New Roman" w:eastAsia="Bookman Old Style" w:hAnsi="Times New Roman" w:cs="Times New Roman"/>
          <w:bCs/>
          <w:color w:val="auto"/>
        </w:rPr>
      </w:pPr>
      <w:r w:rsidRPr="00E3507B">
        <w:rPr>
          <w:rFonts w:ascii="Times New Roman" w:eastAsia="Bookman Old Style" w:hAnsi="Times New Roman" w:cs="Times New Roman"/>
          <w:bCs/>
          <w:color w:val="auto"/>
        </w:rPr>
        <w:t>Oświadczenie woli złożone przez osobę, która z jakichkolwiek powodów znajdowała się w stanie wyłączającym świadome albo swobodne powzięcie decyzji i wyrażenie woli,</w:t>
      </w:r>
    </w:p>
    <w:p w14:paraId="4C3829E6" w14:textId="77777777" w:rsidR="00EE456B" w:rsidRPr="00E3507B" w:rsidRDefault="00EE456B" w:rsidP="00503EDA">
      <w:pPr>
        <w:numPr>
          <w:ilvl w:val="0"/>
          <w:numId w:val="9"/>
        </w:numPr>
        <w:tabs>
          <w:tab w:val="left" w:pos="178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jest bezwzględnie nieważne,</w:t>
      </w:r>
    </w:p>
    <w:p w14:paraId="21AC4A67" w14:textId="77777777" w:rsidR="00EE456B" w:rsidRPr="00E3507B" w:rsidRDefault="00EE456B" w:rsidP="00503EDA">
      <w:pPr>
        <w:numPr>
          <w:ilvl w:val="0"/>
          <w:numId w:val="9"/>
        </w:numPr>
        <w:tabs>
          <w:tab w:val="left" w:pos="179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jest bezskuteczne,</w:t>
      </w:r>
    </w:p>
    <w:p w14:paraId="69AF0FD5" w14:textId="77777777" w:rsidR="00EE456B" w:rsidRPr="00E3507B" w:rsidRDefault="00EE456B" w:rsidP="00503EDA">
      <w:pPr>
        <w:numPr>
          <w:ilvl w:val="0"/>
          <w:numId w:val="9"/>
        </w:numPr>
        <w:tabs>
          <w:tab w:val="left" w:pos="179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jest względnie nieważne</w:t>
      </w:r>
    </w:p>
    <w:p w14:paraId="7BFF43FA" w14:textId="77777777" w:rsidR="00EE456B" w:rsidRPr="00E3507B" w:rsidRDefault="00EE456B" w:rsidP="00503EDA">
      <w:pPr>
        <w:numPr>
          <w:ilvl w:val="0"/>
          <w:numId w:val="6"/>
        </w:numPr>
        <w:tabs>
          <w:tab w:val="left" w:pos="123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bCs/>
          <w:color w:val="auto"/>
        </w:rPr>
      </w:pPr>
      <w:r w:rsidRPr="00E3507B">
        <w:rPr>
          <w:rFonts w:ascii="Times New Roman" w:eastAsia="Bookman Old Style" w:hAnsi="Times New Roman" w:cs="Times New Roman"/>
          <w:bCs/>
          <w:color w:val="auto"/>
        </w:rPr>
        <w:t>Roszczenie stwierdzone prawomocnym orzeczeniem sądu przedawnia się z upływem</w:t>
      </w:r>
    </w:p>
    <w:p w14:paraId="0ADFD9B7" w14:textId="77777777" w:rsidR="00EE456B" w:rsidRPr="00E3507B" w:rsidRDefault="00EE456B" w:rsidP="00503EDA">
      <w:pPr>
        <w:numPr>
          <w:ilvl w:val="0"/>
          <w:numId w:val="10"/>
        </w:numPr>
        <w:tabs>
          <w:tab w:val="left" w:pos="1768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2 lat,</w:t>
      </w:r>
    </w:p>
    <w:p w14:paraId="48AFF9C0" w14:textId="77777777" w:rsidR="00EE456B" w:rsidRPr="00E3507B" w:rsidRDefault="00EE456B" w:rsidP="00503EDA">
      <w:pPr>
        <w:numPr>
          <w:ilvl w:val="0"/>
          <w:numId w:val="10"/>
        </w:numPr>
        <w:tabs>
          <w:tab w:val="left" w:pos="178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10 lat,</w:t>
      </w:r>
    </w:p>
    <w:p w14:paraId="220D2467" w14:textId="77777777" w:rsidR="00EE456B" w:rsidRPr="00E3507B" w:rsidRDefault="00EE456B" w:rsidP="00503EDA">
      <w:pPr>
        <w:numPr>
          <w:ilvl w:val="0"/>
          <w:numId w:val="10"/>
        </w:numPr>
        <w:tabs>
          <w:tab w:val="left" w:pos="178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3 lat.</w:t>
      </w:r>
    </w:p>
    <w:p w14:paraId="6D3A3B3D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232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r w:rsidRPr="00E3507B">
        <w:rPr>
          <w:rFonts w:ascii="Times New Roman" w:eastAsia="Bookman Old Style" w:hAnsi="Times New Roman" w:cs="Times New Roman"/>
          <w:bCs/>
          <w:color w:val="auto"/>
        </w:rPr>
        <w:t>Ograniczonym prawem rzeczowym nie jest:</w:t>
      </w:r>
    </w:p>
    <w:p w14:paraId="6DFF795C" w14:textId="77777777" w:rsidR="00EE456B" w:rsidRPr="00E3507B" w:rsidRDefault="00EE456B" w:rsidP="00503EDA">
      <w:pPr>
        <w:numPr>
          <w:ilvl w:val="0"/>
          <w:numId w:val="11"/>
        </w:numPr>
        <w:tabs>
          <w:tab w:val="left" w:pos="1758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użytkowanie,</w:t>
      </w:r>
    </w:p>
    <w:p w14:paraId="7CDFB554" w14:textId="77777777" w:rsidR="00EE456B" w:rsidRPr="00E3507B" w:rsidRDefault="00EE456B" w:rsidP="00503EDA">
      <w:pPr>
        <w:numPr>
          <w:ilvl w:val="0"/>
          <w:numId w:val="11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dzierżawa,</w:t>
      </w:r>
    </w:p>
    <w:p w14:paraId="2D3C61E9" w14:textId="77777777" w:rsidR="00EE456B" w:rsidRPr="00E3507B" w:rsidRDefault="00EE456B" w:rsidP="00503EDA">
      <w:pPr>
        <w:numPr>
          <w:ilvl w:val="0"/>
          <w:numId w:val="11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zastaw.</w:t>
      </w:r>
    </w:p>
    <w:p w14:paraId="0084EE02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232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0" w:name="bookmark3"/>
      <w:r w:rsidRPr="00E3507B">
        <w:rPr>
          <w:rFonts w:ascii="Times New Roman" w:eastAsia="Bookman Old Style" w:hAnsi="Times New Roman" w:cs="Times New Roman"/>
          <w:bCs/>
          <w:color w:val="auto"/>
        </w:rPr>
        <w:t>Zobowiązanie jest solidarne, jeżeli to wynika:</w:t>
      </w:r>
      <w:bookmarkEnd w:id="0"/>
    </w:p>
    <w:p w14:paraId="06AB6559" w14:textId="77777777" w:rsidR="00EE456B" w:rsidRPr="00E3507B" w:rsidRDefault="00EE456B" w:rsidP="00503EDA">
      <w:pPr>
        <w:numPr>
          <w:ilvl w:val="0"/>
          <w:numId w:val="12"/>
        </w:numPr>
        <w:tabs>
          <w:tab w:val="left" w:pos="1768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z umowy zawartej między stronami stosunku prawnego,</w:t>
      </w:r>
    </w:p>
    <w:p w14:paraId="785BB7A9" w14:textId="77777777" w:rsidR="00EE456B" w:rsidRPr="00E3507B" w:rsidRDefault="00EE456B" w:rsidP="00503EDA">
      <w:pPr>
        <w:numPr>
          <w:ilvl w:val="0"/>
          <w:numId w:val="12"/>
        </w:numPr>
        <w:tabs>
          <w:tab w:val="left" w:pos="178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z decyzji właściwego organu,</w:t>
      </w:r>
    </w:p>
    <w:p w14:paraId="71A1B9CC" w14:textId="77777777" w:rsidR="00EE456B" w:rsidRPr="00E3507B" w:rsidRDefault="00EE456B" w:rsidP="00503EDA">
      <w:pPr>
        <w:numPr>
          <w:ilvl w:val="0"/>
          <w:numId w:val="12"/>
        </w:numPr>
        <w:tabs>
          <w:tab w:val="left" w:pos="178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orzeczenia sądu.</w:t>
      </w:r>
    </w:p>
    <w:p w14:paraId="6461BB2C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218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1" w:name="bookmark4"/>
      <w:r w:rsidRPr="00E3507B">
        <w:rPr>
          <w:rFonts w:ascii="Times New Roman" w:eastAsia="Bookman Old Style" w:hAnsi="Times New Roman" w:cs="Times New Roman"/>
          <w:bCs/>
          <w:color w:val="auto"/>
        </w:rPr>
        <w:t>Prawo do zachowku przysługuje:</w:t>
      </w:r>
      <w:bookmarkEnd w:id="1"/>
    </w:p>
    <w:p w14:paraId="14566EC3" w14:textId="77777777" w:rsidR="00EE456B" w:rsidRPr="00E3507B" w:rsidRDefault="00EE456B" w:rsidP="00503EDA">
      <w:pPr>
        <w:numPr>
          <w:ilvl w:val="0"/>
          <w:numId w:val="13"/>
        </w:numPr>
        <w:tabs>
          <w:tab w:val="left" w:pos="1758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rodzicom spadkodawcy,</w:t>
      </w:r>
    </w:p>
    <w:p w14:paraId="52E3F845" w14:textId="77777777" w:rsidR="00EE456B" w:rsidRPr="00E3507B" w:rsidRDefault="00EE456B" w:rsidP="00503EDA">
      <w:pPr>
        <w:numPr>
          <w:ilvl w:val="0"/>
          <w:numId w:val="13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rodzeństwu spadkodawcy,</w:t>
      </w:r>
    </w:p>
    <w:p w14:paraId="0EB84935" w14:textId="77777777" w:rsidR="00EE456B" w:rsidRPr="00E3507B" w:rsidRDefault="00EE456B" w:rsidP="00503EDA">
      <w:pPr>
        <w:numPr>
          <w:ilvl w:val="0"/>
          <w:numId w:val="13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dziadkom spadkodawcy.</w:t>
      </w:r>
    </w:p>
    <w:p w14:paraId="4EDD3D6F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218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2" w:name="bookmark5"/>
      <w:r w:rsidRPr="00E3507B">
        <w:rPr>
          <w:rFonts w:ascii="Times New Roman" w:eastAsia="Bookman Old Style" w:hAnsi="Times New Roman" w:cs="Times New Roman"/>
          <w:bCs/>
          <w:color w:val="auto"/>
        </w:rPr>
        <w:lastRenderedPageBreak/>
        <w:t>Oświadczenie o przyjęciu bądź odrzuceniu spadku może być złożone:</w:t>
      </w:r>
      <w:bookmarkEnd w:id="2"/>
    </w:p>
    <w:p w14:paraId="188ABA98" w14:textId="77777777" w:rsidR="00EE456B" w:rsidRPr="00E3507B" w:rsidRDefault="00EE456B" w:rsidP="00503EDA">
      <w:pPr>
        <w:numPr>
          <w:ilvl w:val="0"/>
          <w:numId w:val="14"/>
        </w:numPr>
        <w:tabs>
          <w:tab w:val="left" w:pos="1768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przez spadkobiercę w ciągu roku od otwarcia spadku,</w:t>
      </w:r>
    </w:p>
    <w:p w14:paraId="1D2528F2" w14:textId="77777777" w:rsidR="00EE456B" w:rsidRPr="00E3507B" w:rsidRDefault="00EE456B" w:rsidP="00503EDA">
      <w:pPr>
        <w:numPr>
          <w:ilvl w:val="0"/>
          <w:numId w:val="14"/>
        </w:numPr>
        <w:tabs>
          <w:tab w:val="left" w:pos="178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w ciągu 6 miesięcy od dowiedzenia się przez spadkobiercę o tytule swojego powołania,</w:t>
      </w:r>
    </w:p>
    <w:p w14:paraId="35A08995" w14:textId="77777777" w:rsidR="00EE456B" w:rsidRPr="00E3507B" w:rsidRDefault="00EE456B" w:rsidP="00503EDA">
      <w:pPr>
        <w:numPr>
          <w:ilvl w:val="0"/>
          <w:numId w:val="14"/>
        </w:numPr>
        <w:tabs>
          <w:tab w:val="left" w:pos="178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nie jest ograniczone żadnym terminem.</w:t>
      </w:r>
    </w:p>
    <w:p w14:paraId="6ACADF69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218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3" w:name="bookmark6"/>
      <w:r w:rsidRPr="00E3507B">
        <w:rPr>
          <w:rFonts w:ascii="Times New Roman" w:eastAsia="Bookman Old Style" w:hAnsi="Times New Roman" w:cs="Times New Roman"/>
          <w:bCs/>
          <w:color w:val="auto"/>
        </w:rPr>
        <w:t>Zrzec się dziedziczenia po spadkodawcy można:</w:t>
      </w:r>
      <w:bookmarkEnd w:id="3"/>
    </w:p>
    <w:p w14:paraId="03E9A786" w14:textId="77777777" w:rsidR="00EE456B" w:rsidRPr="00E3507B" w:rsidRDefault="00EE456B" w:rsidP="00503EDA">
      <w:pPr>
        <w:numPr>
          <w:ilvl w:val="0"/>
          <w:numId w:val="15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w formie pisemnej,</w:t>
      </w:r>
    </w:p>
    <w:p w14:paraId="35CC7435" w14:textId="77777777" w:rsidR="00EE456B" w:rsidRPr="00E3507B" w:rsidRDefault="00EE456B" w:rsidP="00503EDA">
      <w:pPr>
        <w:numPr>
          <w:ilvl w:val="0"/>
          <w:numId w:val="15"/>
        </w:numPr>
        <w:tabs>
          <w:tab w:val="left" w:pos="1778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tylko za jego życia,</w:t>
      </w:r>
    </w:p>
    <w:p w14:paraId="7F92D564" w14:textId="77777777" w:rsidR="00EE456B" w:rsidRPr="00E3507B" w:rsidRDefault="00EE456B" w:rsidP="00503EDA">
      <w:pPr>
        <w:numPr>
          <w:ilvl w:val="0"/>
          <w:numId w:val="15"/>
        </w:numPr>
        <w:tabs>
          <w:tab w:val="left" w:pos="1778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nie można, gdyż taka czynność jest bezwzględnie nieważna.</w:t>
      </w:r>
    </w:p>
    <w:p w14:paraId="3F1149C0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348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4" w:name="bookmark7"/>
      <w:r w:rsidRPr="00E3507B">
        <w:rPr>
          <w:rFonts w:ascii="Times New Roman" w:eastAsia="Bookman Old Style" w:hAnsi="Times New Roman" w:cs="Times New Roman"/>
          <w:bCs/>
          <w:color w:val="auto"/>
        </w:rPr>
        <w:t>W przypadku wytoczenia powództwa przeciwko osobie nieżyjącej sąd:</w:t>
      </w:r>
      <w:bookmarkEnd w:id="4"/>
    </w:p>
    <w:p w14:paraId="15471E4C" w14:textId="77777777" w:rsidR="00EE456B" w:rsidRPr="00E3507B" w:rsidRDefault="00EE456B" w:rsidP="00503EDA">
      <w:pPr>
        <w:numPr>
          <w:ilvl w:val="0"/>
          <w:numId w:val="16"/>
        </w:numPr>
        <w:tabs>
          <w:tab w:val="left" w:pos="1751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odrzuci pozew,</w:t>
      </w:r>
    </w:p>
    <w:p w14:paraId="64621164" w14:textId="77777777" w:rsidR="00EE456B" w:rsidRPr="00E3507B" w:rsidRDefault="00EE456B" w:rsidP="00503EDA">
      <w:pPr>
        <w:numPr>
          <w:ilvl w:val="0"/>
          <w:numId w:val="16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zawiesi postępowanie,</w:t>
      </w:r>
    </w:p>
    <w:p w14:paraId="2142039E" w14:textId="77777777" w:rsidR="00EE456B" w:rsidRPr="00E3507B" w:rsidRDefault="00EE456B" w:rsidP="00503EDA">
      <w:pPr>
        <w:numPr>
          <w:ilvl w:val="0"/>
          <w:numId w:val="16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zwróci pozew.</w:t>
      </w:r>
    </w:p>
    <w:p w14:paraId="7C919983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348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5" w:name="bookmark8"/>
      <w:r w:rsidRPr="00E3507B">
        <w:rPr>
          <w:rFonts w:ascii="Times New Roman" w:eastAsia="Bookman Old Style" w:hAnsi="Times New Roman" w:cs="Times New Roman"/>
          <w:bCs/>
          <w:color w:val="auto"/>
        </w:rPr>
        <w:t>Sprawa o zapobieganie i zwalczanie nieuczciwej konkurencji podlega rozpoznaniu:</w:t>
      </w:r>
      <w:bookmarkEnd w:id="5"/>
    </w:p>
    <w:p w14:paraId="78BB43FA" w14:textId="77777777" w:rsidR="00EE456B" w:rsidRPr="00E3507B" w:rsidRDefault="00EE456B" w:rsidP="00503EDA">
      <w:pPr>
        <w:numPr>
          <w:ilvl w:val="0"/>
          <w:numId w:val="17"/>
        </w:numPr>
        <w:tabs>
          <w:tab w:val="left" w:pos="1751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zawsze przez sąd rejonowy,</w:t>
      </w:r>
    </w:p>
    <w:p w14:paraId="432BC4BB" w14:textId="77777777" w:rsidR="00EE456B" w:rsidRPr="00E3507B" w:rsidRDefault="00EE456B" w:rsidP="00503EDA">
      <w:pPr>
        <w:numPr>
          <w:ilvl w:val="0"/>
          <w:numId w:val="17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zawsze przez sąd okręgowy,</w:t>
      </w:r>
    </w:p>
    <w:p w14:paraId="01271DF8" w14:textId="77777777" w:rsidR="00EE456B" w:rsidRPr="00E3507B" w:rsidRDefault="00EE456B" w:rsidP="00503EDA">
      <w:pPr>
        <w:numPr>
          <w:ilvl w:val="0"/>
          <w:numId w:val="17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przez sąd rejonowy, lecz tylko jeżeli wartość przedmiotu sporu nie przewyższa 75.000,00 złotych.</w:t>
      </w:r>
    </w:p>
    <w:p w14:paraId="54B55303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353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6" w:name="bookmark9"/>
      <w:r w:rsidRPr="00E3507B">
        <w:rPr>
          <w:rFonts w:ascii="Times New Roman" w:eastAsia="Bookman Old Style" w:hAnsi="Times New Roman" w:cs="Times New Roman"/>
          <w:bCs/>
          <w:color w:val="auto"/>
        </w:rPr>
        <w:t>Z właściwością miejscową wyłączną sądu mamy do czynienia w przypadku:</w:t>
      </w:r>
      <w:bookmarkEnd w:id="6"/>
    </w:p>
    <w:p w14:paraId="4B3E8277" w14:textId="77777777" w:rsidR="00EE456B" w:rsidRPr="00E3507B" w:rsidRDefault="00EE456B" w:rsidP="00503EDA">
      <w:pPr>
        <w:numPr>
          <w:ilvl w:val="0"/>
          <w:numId w:val="18"/>
        </w:numPr>
        <w:tabs>
          <w:tab w:val="left" w:pos="1751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powództwa o uznanie spadkobiercy za niegodnego dziedziczenia,</w:t>
      </w:r>
    </w:p>
    <w:p w14:paraId="381FF582" w14:textId="77777777" w:rsidR="00EE456B" w:rsidRPr="00E3507B" w:rsidRDefault="00EE456B" w:rsidP="00503EDA">
      <w:pPr>
        <w:numPr>
          <w:ilvl w:val="0"/>
          <w:numId w:val="18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powództwa przeciwko zobowiązanemu z czeku,</w:t>
      </w:r>
    </w:p>
    <w:p w14:paraId="3D1A53BE" w14:textId="77777777" w:rsidR="00EE456B" w:rsidRPr="00E3507B" w:rsidRDefault="00EE456B" w:rsidP="00503EDA">
      <w:pPr>
        <w:numPr>
          <w:ilvl w:val="0"/>
          <w:numId w:val="18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powództwa o roszczenie ze stosunku dzierżawy.</w:t>
      </w:r>
    </w:p>
    <w:p w14:paraId="360B7FDC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353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7" w:name="bookmark10"/>
      <w:r w:rsidRPr="00E3507B">
        <w:rPr>
          <w:rFonts w:ascii="Times New Roman" w:eastAsia="Bookman Old Style" w:hAnsi="Times New Roman" w:cs="Times New Roman"/>
          <w:bCs/>
          <w:color w:val="auto"/>
        </w:rPr>
        <w:t>Pozew, który ostatecznie nie został należycie opłacony:</w:t>
      </w:r>
      <w:bookmarkEnd w:id="7"/>
    </w:p>
    <w:p w14:paraId="7234DA9C" w14:textId="77777777" w:rsidR="00EE456B" w:rsidRPr="00E3507B" w:rsidRDefault="00EE456B" w:rsidP="00503EDA">
      <w:pPr>
        <w:numPr>
          <w:ilvl w:val="0"/>
          <w:numId w:val="19"/>
        </w:numPr>
        <w:tabs>
          <w:tab w:val="left" w:pos="1751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odrzuca się,</w:t>
      </w:r>
    </w:p>
    <w:p w14:paraId="70B37BA5" w14:textId="77777777" w:rsidR="00EE456B" w:rsidRPr="00E3507B" w:rsidRDefault="00EE456B" w:rsidP="00503EDA">
      <w:pPr>
        <w:numPr>
          <w:ilvl w:val="0"/>
          <w:numId w:val="19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zwraca się,</w:t>
      </w:r>
    </w:p>
    <w:p w14:paraId="309B5537" w14:textId="77777777" w:rsidR="00EE456B" w:rsidRPr="00E3507B" w:rsidRDefault="00EE456B" w:rsidP="00503EDA">
      <w:pPr>
        <w:numPr>
          <w:ilvl w:val="0"/>
          <w:numId w:val="19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podlega oddaleniu.</w:t>
      </w:r>
    </w:p>
    <w:p w14:paraId="5220E497" w14:textId="77777777" w:rsidR="00EE456B" w:rsidRPr="00E3507B" w:rsidRDefault="00EE456B" w:rsidP="00503EDA">
      <w:pPr>
        <w:tabs>
          <w:tab w:val="left" w:pos="1763"/>
        </w:tabs>
        <w:spacing w:after="120" w:line="360" w:lineRule="auto"/>
        <w:contextualSpacing/>
        <w:rPr>
          <w:rFonts w:ascii="Times New Roman" w:eastAsia="Bookman Old Style" w:hAnsi="Times New Roman" w:cs="Times New Roman"/>
          <w:color w:val="auto"/>
        </w:rPr>
      </w:pPr>
    </w:p>
    <w:p w14:paraId="52EE44E1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348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8" w:name="bookmark11"/>
      <w:r w:rsidRPr="00E3507B">
        <w:rPr>
          <w:rFonts w:ascii="Times New Roman" w:eastAsia="Bookman Old Style" w:hAnsi="Times New Roman" w:cs="Times New Roman"/>
          <w:bCs/>
          <w:color w:val="auto"/>
        </w:rPr>
        <w:t>Termin do uzupełnienia braków formalnych pisma procesowego ma charakter:</w:t>
      </w:r>
      <w:bookmarkEnd w:id="8"/>
    </w:p>
    <w:p w14:paraId="19D54548" w14:textId="77777777" w:rsidR="00EE456B" w:rsidRPr="00E3507B" w:rsidRDefault="00EE456B" w:rsidP="00503EDA">
      <w:pPr>
        <w:numPr>
          <w:ilvl w:val="0"/>
          <w:numId w:val="20"/>
        </w:numPr>
        <w:tabs>
          <w:tab w:val="left" w:pos="1751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ustawowy,</w:t>
      </w:r>
    </w:p>
    <w:p w14:paraId="25CF90F5" w14:textId="77777777" w:rsidR="00EE456B" w:rsidRPr="00E3507B" w:rsidRDefault="00EE456B" w:rsidP="00503EDA">
      <w:pPr>
        <w:numPr>
          <w:ilvl w:val="0"/>
          <w:numId w:val="20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sądowy,</w:t>
      </w:r>
    </w:p>
    <w:p w14:paraId="26F8CA84" w14:textId="77777777" w:rsidR="00EE456B" w:rsidRPr="00E3507B" w:rsidRDefault="00EE456B" w:rsidP="00503EDA">
      <w:pPr>
        <w:numPr>
          <w:ilvl w:val="0"/>
          <w:numId w:val="20"/>
        </w:numPr>
        <w:tabs>
          <w:tab w:val="left" w:pos="1763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instrukcyjny.</w:t>
      </w:r>
    </w:p>
    <w:p w14:paraId="317DF6AE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348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9" w:name="bookmark12"/>
      <w:r w:rsidRPr="00E3507B">
        <w:rPr>
          <w:rFonts w:ascii="Times New Roman" w:eastAsia="Bookman Old Style" w:hAnsi="Times New Roman" w:cs="Times New Roman"/>
          <w:bCs/>
          <w:color w:val="auto"/>
        </w:rPr>
        <w:t>Postanowienie o nadaniu wyrokowi klauzuli wykonalności:</w:t>
      </w:r>
      <w:bookmarkEnd w:id="9"/>
    </w:p>
    <w:p w14:paraId="486D4B0D" w14:textId="77777777" w:rsidR="00EE456B" w:rsidRPr="00E3507B" w:rsidRDefault="00EE456B" w:rsidP="00503EDA">
      <w:pPr>
        <w:numPr>
          <w:ilvl w:val="0"/>
          <w:numId w:val="21"/>
        </w:numPr>
        <w:tabs>
          <w:tab w:val="left" w:pos="1768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może zapaść tylko na posiedzeniu jawnym,</w:t>
      </w:r>
    </w:p>
    <w:p w14:paraId="23E50366" w14:textId="77777777" w:rsidR="00EE456B" w:rsidRPr="00E3507B" w:rsidRDefault="00EE456B" w:rsidP="00503EDA">
      <w:pPr>
        <w:numPr>
          <w:ilvl w:val="0"/>
          <w:numId w:val="21"/>
        </w:numPr>
        <w:tabs>
          <w:tab w:val="left" w:pos="1787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lastRenderedPageBreak/>
        <w:t>może zapaść na posiedzeniu niejawnym,</w:t>
      </w:r>
    </w:p>
    <w:p w14:paraId="23C01315" w14:textId="77777777" w:rsidR="00EE456B" w:rsidRPr="00E3507B" w:rsidRDefault="00EE456B" w:rsidP="00503EDA">
      <w:pPr>
        <w:numPr>
          <w:ilvl w:val="0"/>
          <w:numId w:val="21"/>
        </w:numPr>
        <w:tabs>
          <w:tab w:val="left" w:pos="1787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może zapaść tylko po przeprowadzeniu rozprawy.</w:t>
      </w:r>
    </w:p>
    <w:p w14:paraId="1AA8DADB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348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10" w:name="bookmark13"/>
      <w:r w:rsidRPr="00E3507B">
        <w:rPr>
          <w:rFonts w:ascii="Times New Roman" w:eastAsia="Bookman Old Style" w:hAnsi="Times New Roman" w:cs="Times New Roman"/>
          <w:bCs/>
          <w:color w:val="auto"/>
        </w:rPr>
        <w:t>Jeżeli stroną procesu jest Skarb Państwa:</w:t>
      </w:r>
      <w:bookmarkEnd w:id="10"/>
    </w:p>
    <w:p w14:paraId="5AE0CF4F" w14:textId="77777777" w:rsidR="00EE456B" w:rsidRPr="00E3507B" w:rsidRDefault="00EE456B" w:rsidP="00503EDA">
      <w:pPr>
        <w:numPr>
          <w:ilvl w:val="0"/>
          <w:numId w:val="22"/>
        </w:numPr>
        <w:tabs>
          <w:tab w:val="left" w:pos="1768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doręczeń dokonuje się ustanowionemu pełnomocnikowi tej strony,</w:t>
      </w:r>
    </w:p>
    <w:p w14:paraId="7D7DFC09" w14:textId="6AE7737B" w:rsidR="00EE456B" w:rsidRPr="00E3507B" w:rsidRDefault="00EE456B" w:rsidP="00503EDA">
      <w:pPr>
        <w:numPr>
          <w:ilvl w:val="0"/>
          <w:numId w:val="22"/>
        </w:numPr>
        <w:tabs>
          <w:tab w:val="left" w:pos="178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 xml:space="preserve">doręczeń dokonuje się organowi jednostki organizacyjnej Skarbu Państwa, </w:t>
      </w:r>
      <w:r w:rsidR="00503EDA" w:rsidRPr="00E3507B">
        <w:rPr>
          <w:rFonts w:ascii="Times New Roman" w:eastAsia="Bookman Old Style" w:hAnsi="Times New Roman" w:cs="Times New Roman"/>
          <w:color w:val="auto"/>
        </w:rPr>
        <w:t xml:space="preserve"> </w:t>
      </w:r>
      <w:r w:rsidRPr="00E3507B">
        <w:rPr>
          <w:rFonts w:ascii="Times New Roman" w:eastAsia="Bookman Old Style" w:hAnsi="Times New Roman" w:cs="Times New Roman"/>
          <w:color w:val="auto"/>
        </w:rPr>
        <w:t>z której działalnością wiąże się dochodzone roszczenie,</w:t>
      </w:r>
    </w:p>
    <w:p w14:paraId="653AEC83" w14:textId="77777777" w:rsidR="00EE456B" w:rsidRPr="00E3507B" w:rsidRDefault="00EE456B" w:rsidP="00503EDA">
      <w:pPr>
        <w:numPr>
          <w:ilvl w:val="0"/>
          <w:numId w:val="22"/>
        </w:numPr>
        <w:tabs>
          <w:tab w:val="left" w:pos="178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doręczeń dokonuje się zawsze Prokuratorii Generalnej Skarbu Państwa.</w:t>
      </w:r>
    </w:p>
    <w:p w14:paraId="2090588D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348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11" w:name="bookmark14"/>
      <w:r w:rsidRPr="00E3507B">
        <w:rPr>
          <w:rFonts w:ascii="Times New Roman" w:eastAsia="Bookman Old Style" w:hAnsi="Times New Roman" w:cs="Times New Roman"/>
          <w:bCs/>
          <w:color w:val="auto"/>
        </w:rPr>
        <w:t>Powództwo wzajemne jest dopuszczalne:</w:t>
      </w:r>
      <w:bookmarkEnd w:id="11"/>
    </w:p>
    <w:p w14:paraId="5CA1CF78" w14:textId="77777777" w:rsidR="00EE456B" w:rsidRPr="00E3507B" w:rsidRDefault="00EE456B" w:rsidP="00503EDA">
      <w:pPr>
        <w:numPr>
          <w:ilvl w:val="0"/>
          <w:numId w:val="23"/>
        </w:numPr>
        <w:tabs>
          <w:tab w:val="left" w:pos="1768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w sprawie o ustalenie ojcostwa,</w:t>
      </w:r>
    </w:p>
    <w:p w14:paraId="46A11BEA" w14:textId="77777777" w:rsidR="00EE456B" w:rsidRPr="00E3507B" w:rsidRDefault="00EE456B" w:rsidP="00503EDA">
      <w:pPr>
        <w:numPr>
          <w:ilvl w:val="0"/>
          <w:numId w:val="23"/>
        </w:numPr>
        <w:tabs>
          <w:tab w:val="left" w:pos="178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w sprawie o roszczenie powyżej 75.000,00 zł,</w:t>
      </w:r>
    </w:p>
    <w:p w14:paraId="2DB8BA5F" w14:textId="77777777" w:rsidR="00EE456B" w:rsidRPr="00E3507B" w:rsidRDefault="00EE456B" w:rsidP="00503EDA">
      <w:pPr>
        <w:numPr>
          <w:ilvl w:val="0"/>
          <w:numId w:val="23"/>
        </w:numPr>
        <w:tabs>
          <w:tab w:val="left" w:pos="178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w sprawie o naruszenie posiadania.</w:t>
      </w:r>
    </w:p>
    <w:p w14:paraId="22D2AA9A" w14:textId="77777777" w:rsidR="00EE456B" w:rsidRPr="00E3507B" w:rsidRDefault="00EE456B" w:rsidP="00503EDA">
      <w:pPr>
        <w:keepNext/>
        <w:keepLines/>
        <w:numPr>
          <w:ilvl w:val="0"/>
          <w:numId w:val="6"/>
        </w:numPr>
        <w:tabs>
          <w:tab w:val="left" w:pos="1284"/>
        </w:tabs>
        <w:spacing w:after="120" w:line="360" w:lineRule="auto"/>
        <w:ind w:left="709"/>
        <w:contextualSpacing/>
        <w:outlineLvl w:val="2"/>
        <w:rPr>
          <w:rFonts w:ascii="Times New Roman" w:eastAsia="Bookman Old Style" w:hAnsi="Times New Roman" w:cs="Times New Roman"/>
          <w:bCs/>
          <w:color w:val="auto"/>
        </w:rPr>
      </w:pPr>
      <w:bookmarkStart w:id="12" w:name="bookmark15"/>
      <w:r w:rsidRPr="00E3507B">
        <w:rPr>
          <w:rFonts w:ascii="Times New Roman" w:eastAsia="Bookman Old Style" w:hAnsi="Times New Roman" w:cs="Times New Roman"/>
          <w:bCs/>
          <w:color w:val="auto"/>
        </w:rPr>
        <w:t>Skargę na czynność komornika wniesioną po upływie przepisanego terminu:</w:t>
      </w:r>
      <w:bookmarkEnd w:id="12"/>
    </w:p>
    <w:p w14:paraId="06E7927E" w14:textId="77777777" w:rsidR="00EE456B" w:rsidRPr="00E3507B" w:rsidRDefault="00EE456B" w:rsidP="00503EDA">
      <w:pPr>
        <w:numPr>
          <w:ilvl w:val="0"/>
          <w:numId w:val="24"/>
        </w:numPr>
        <w:tabs>
          <w:tab w:val="left" w:pos="1768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sąd oddala,</w:t>
      </w:r>
    </w:p>
    <w:p w14:paraId="7CEB9641" w14:textId="77777777" w:rsidR="00EE456B" w:rsidRPr="00E3507B" w:rsidRDefault="00EE456B" w:rsidP="00503EDA">
      <w:pPr>
        <w:numPr>
          <w:ilvl w:val="0"/>
          <w:numId w:val="24"/>
        </w:numPr>
        <w:tabs>
          <w:tab w:val="left" w:pos="178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przewodniczący posiedzenia zwraca,</w:t>
      </w:r>
    </w:p>
    <w:p w14:paraId="74F03B70" w14:textId="77777777" w:rsidR="00EE456B" w:rsidRPr="00E3507B" w:rsidRDefault="00EE456B" w:rsidP="00503EDA">
      <w:pPr>
        <w:numPr>
          <w:ilvl w:val="0"/>
          <w:numId w:val="24"/>
        </w:numPr>
        <w:tabs>
          <w:tab w:val="left" w:pos="1782"/>
        </w:tabs>
        <w:spacing w:after="120" w:line="360" w:lineRule="auto"/>
        <w:ind w:left="709"/>
        <w:contextualSpacing/>
        <w:rPr>
          <w:rFonts w:ascii="Times New Roman" w:eastAsia="Bookman Old Style" w:hAnsi="Times New Roman" w:cs="Times New Roman"/>
          <w:color w:val="auto"/>
        </w:rPr>
      </w:pPr>
      <w:r w:rsidRPr="00E3507B">
        <w:rPr>
          <w:rFonts w:ascii="Times New Roman" w:eastAsia="Bookman Old Style" w:hAnsi="Times New Roman" w:cs="Times New Roman"/>
          <w:color w:val="auto"/>
        </w:rPr>
        <w:t>sąd odrzuca.</w:t>
      </w:r>
    </w:p>
    <w:p w14:paraId="6338E768" w14:textId="77777777" w:rsidR="00B34EC7" w:rsidRPr="00E3507B" w:rsidRDefault="00B34EC7" w:rsidP="00503EDA">
      <w:pPr>
        <w:spacing w:after="120" w:line="360" w:lineRule="auto"/>
        <w:contextualSpacing/>
        <w:rPr>
          <w:rFonts w:ascii="Times New Roman" w:hAnsi="Times New Roman" w:cs="Times New Roman"/>
        </w:rPr>
      </w:pPr>
    </w:p>
    <w:p w14:paraId="1771E5FB" w14:textId="77777777" w:rsidR="00E3507B" w:rsidRPr="00E3507B" w:rsidRDefault="00E3507B" w:rsidP="00503EDA">
      <w:pPr>
        <w:spacing w:after="120" w:line="360" w:lineRule="auto"/>
        <w:contextualSpacing/>
        <w:rPr>
          <w:rFonts w:ascii="Times New Roman" w:hAnsi="Times New Roman" w:cs="Times New Roman"/>
        </w:rPr>
      </w:pPr>
    </w:p>
    <w:p w14:paraId="7FDCE559" w14:textId="77777777" w:rsidR="00E3507B" w:rsidRPr="00E3507B" w:rsidRDefault="00E3507B" w:rsidP="00E3507B">
      <w:pPr>
        <w:keepNext/>
        <w:keepLines/>
        <w:spacing w:before="461" w:after="311" w:line="240" w:lineRule="exact"/>
        <w:rPr>
          <w:rFonts w:ascii="Times New Roman" w:hAnsi="Times New Roman" w:cs="Times New Roman"/>
        </w:rPr>
      </w:pPr>
      <w:r w:rsidRPr="00E3507B">
        <w:rPr>
          <w:rStyle w:val="Nagwek11"/>
          <w:rFonts w:ascii="Times New Roman" w:hAnsi="Times New Roman" w:cs="Times New Roman"/>
          <w:bCs w:val="0"/>
        </w:rPr>
        <w:t>Prawo cywilne</w:t>
      </w:r>
    </w:p>
    <w:p w14:paraId="58578642" w14:textId="77777777" w:rsidR="00E3507B" w:rsidRPr="00E3507B" w:rsidRDefault="00E3507B" w:rsidP="00E3507B">
      <w:pPr>
        <w:pStyle w:val="Teksttreci20"/>
        <w:shd w:val="clear" w:color="auto" w:fill="auto"/>
        <w:spacing w:before="0"/>
        <w:ind w:firstLine="620"/>
        <w:rPr>
          <w:rFonts w:ascii="Times New Roman" w:hAnsi="Times New Roman" w:cs="Times New Roman"/>
        </w:rPr>
      </w:pPr>
      <w:r w:rsidRPr="00E3507B">
        <w:rPr>
          <w:rFonts w:ascii="Times New Roman" w:hAnsi="Times New Roman" w:cs="Times New Roman"/>
        </w:rPr>
        <w:t>Powód Grzegorz Witkowski wniósł samodzielnie pozew przeciwko Ubezpieczalnia S.A. z siedzibą w Warszawie.</w:t>
      </w:r>
    </w:p>
    <w:p w14:paraId="30C686CB" w14:textId="77777777" w:rsidR="00E3507B" w:rsidRPr="00E3507B" w:rsidRDefault="00E3507B" w:rsidP="00E3507B">
      <w:pPr>
        <w:pStyle w:val="Teksttreci20"/>
        <w:shd w:val="clear" w:color="auto" w:fill="auto"/>
        <w:spacing w:before="0"/>
        <w:ind w:firstLine="620"/>
        <w:rPr>
          <w:rFonts w:ascii="Times New Roman" w:hAnsi="Times New Roman" w:cs="Times New Roman"/>
        </w:rPr>
      </w:pPr>
      <w:r w:rsidRPr="00E3507B">
        <w:rPr>
          <w:rFonts w:ascii="Times New Roman" w:hAnsi="Times New Roman" w:cs="Times New Roman"/>
        </w:rPr>
        <w:t>Po doręczeniu odpisu pozwu pozwanej Spółce i wniesieniu przez nią odpowiedzi na pozew przez pełnomocnika procesowego będącego adwokatem, Przewodniczący skierował sprawę na rozprawę w dniu 27 kwietnia 2015 r.</w:t>
      </w:r>
    </w:p>
    <w:p w14:paraId="4B2DD40A" w14:textId="77777777" w:rsidR="00E3507B" w:rsidRPr="00E3507B" w:rsidRDefault="00E3507B" w:rsidP="00E3507B">
      <w:pPr>
        <w:pStyle w:val="Teksttreci20"/>
        <w:shd w:val="clear" w:color="auto" w:fill="auto"/>
        <w:spacing w:before="0"/>
        <w:ind w:firstLine="620"/>
        <w:rPr>
          <w:rFonts w:ascii="Times New Roman" w:hAnsi="Times New Roman" w:cs="Times New Roman"/>
        </w:rPr>
      </w:pPr>
      <w:r w:rsidRPr="00E3507B">
        <w:rPr>
          <w:rFonts w:ascii="Times New Roman" w:hAnsi="Times New Roman" w:cs="Times New Roman"/>
        </w:rPr>
        <w:t>Na terminie rozprawy powód został wysłuchany informacyjnie, zaś rozprawa uległa odroczeniu.</w:t>
      </w:r>
    </w:p>
    <w:p w14:paraId="382C699C" w14:textId="77777777" w:rsidR="00E3507B" w:rsidRPr="00E3507B" w:rsidRDefault="00E3507B" w:rsidP="00E3507B">
      <w:pPr>
        <w:pStyle w:val="Teksttreci20"/>
        <w:shd w:val="clear" w:color="auto" w:fill="auto"/>
        <w:spacing w:before="0"/>
        <w:ind w:firstLine="620"/>
        <w:rPr>
          <w:rFonts w:ascii="Times New Roman" w:hAnsi="Times New Roman" w:cs="Times New Roman"/>
        </w:rPr>
      </w:pPr>
      <w:r w:rsidRPr="00E3507B">
        <w:rPr>
          <w:rFonts w:ascii="Times New Roman" w:hAnsi="Times New Roman" w:cs="Times New Roman"/>
        </w:rPr>
        <w:t>W dniu 15 maja 2015 r. powód złożył poza rozprawą pisemne oświadczenie o cofnięciu pozwu bez zrzeczenia się roszczenia i wniósł o umorzenie postępowania.</w:t>
      </w:r>
    </w:p>
    <w:p w14:paraId="1ADC67AE" w14:textId="77777777" w:rsidR="00E3507B" w:rsidRPr="00E3507B" w:rsidRDefault="00E3507B" w:rsidP="00E3507B">
      <w:pPr>
        <w:pStyle w:val="Teksttreci20"/>
        <w:shd w:val="clear" w:color="auto" w:fill="auto"/>
        <w:spacing w:before="0"/>
        <w:ind w:firstLine="620"/>
        <w:rPr>
          <w:rFonts w:ascii="Times New Roman" w:hAnsi="Times New Roman" w:cs="Times New Roman"/>
        </w:rPr>
      </w:pPr>
      <w:r w:rsidRPr="00E3507B">
        <w:rPr>
          <w:rFonts w:ascii="Times New Roman" w:hAnsi="Times New Roman" w:cs="Times New Roman"/>
        </w:rPr>
        <w:t>Przewodniczący zarządził doręczenie pełnomocnikowi pozwanej odpisu pisma powoda z dnia 15 maja 2015 r., które nastąpiło w dniu 22 maja 2015 r.</w:t>
      </w:r>
    </w:p>
    <w:p w14:paraId="651757CF" w14:textId="7B4BBCFC" w:rsidR="00E3507B" w:rsidRPr="00E3507B" w:rsidRDefault="00E3507B" w:rsidP="00E3507B">
      <w:pPr>
        <w:pStyle w:val="Teksttreci20"/>
        <w:shd w:val="clear" w:color="auto" w:fill="auto"/>
        <w:tabs>
          <w:tab w:val="left" w:pos="2914"/>
          <w:tab w:val="left" w:pos="5837"/>
        </w:tabs>
        <w:spacing w:before="0"/>
        <w:ind w:firstLine="620"/>
        <w:rPr>
          <w:rFonts w:ascii="Times New Roman" w:hAnsi="Times New Roman" w:cs="Times New Roman"/>
        </w:rPr>
      </w:pPr>
      <w:r w:rsidRPr="00E3507B">
        <w:rPr>
          <w:rFonts w:ascii="Times New Roman" w:hAnsi="Times New Roman" w:cs="Times New Roman"/>
        </w:rPr>
        <w:t>W dniu 25 maja 2015 r. pełnomocnik pozwanej złożył wniosek o wyrażenie przez Sąd zgody</w:t>
      </w:r>
      <w:r>
        <w:rPr>
          <w:rFonts w:ascii="Times New Roman" w:hAnsi="Times New Roman" w:cs="Times New Roman"/>
        </w:rPr>
        <w:t xml:space="preserve"> </w:t>
      </w:r>
      <w:r w:rsidRPr="00E3507B">
        <w:rPr>
          <w:rFonts w:ascii="Times New Roman" w:hAnsi="Times New Roman" w:cs="Times New Roman"/>
        </w:rPr>
        <w:t>na złożenie pisma</w:t>
      </w:r>
      <w:r>
        <w:rPr>
          <w:rFonts w:ascii="Times New Roman" w:hAnsi="Times New Roman" w:cs="Times New Roman"/>
        </w:rPr>
        <w:t xml:space="preserve"> </w:t>
      </w:r>
      <w:r w:rsidRPr="00E3507B">
        <w:rPr>
          <w:rFonts w:ascii="Times New Roman" w:hAnsi="Times New Roman" w:cs="Times New Roman"/>
        </w:rPr>
        <w:t>przygotowawczego w trybie</w:t>
      </w:r>
      <w:r>
        <w:rPr>
          <w:rFonts w:ascii="Times New Roman" w:hAnsi="Times New Roman" w:cs="Times New Roman"/>
        </w:rPr>
        <w:t xml:space="preserve"> </w:t>
      </w:r>
      <w:r w:rsidRPr="00E3507B">
        <w:rPr>
          <w:rFonts w:ascii="Times New Roman" w:hAnsi="Times New Roman" w:cs="Times New Roman"/>
        </w:rPr>
        <w:t>art. 207 § 6 k.p.c.</w:t>
      </w:r>
    </w:p>
    <w:p w14:paraId="4B909743" w14:textId="77777777" w:rsidR="00E3507B" w:rsidRPr="00E3507B" w:rsidRDefault="00E3507B" w:rsidP="00E3507B">
      <w:pPr>
        <w:pStyle w:val="Teksttreci20"/>
        <w:shd w:val="clear" w:color="auto" w:fill="auto"/>
        <w:spacing w:before="0"/>
        <w:ind w:firstLine="620"/>
        <w:rPr>
          <w:rFonts w:ascii="Times New Roman" w:hAnsi="Times New Roman" w:cs="Times New Roman"/>
        </w:rPr>
      </w:pPr>
      <w:r w:rsidRPr="00E3507B">
        <w:rPr>
          <w:rFonts w:ascii="Times New Roman" w:hAnsi="Times New Roman" w:cs="Times New Roman"/>
        </w:rPr>
        <w:t>Sąd wydał postanowienie o zezwoleniu na złożenie pisma przygotowawczego w terminie 7 dni pod rygorem zwrotu pisma, zaś odpis postanowienia został doręczony pełnomocnikowi pozwanej w dniu 01 czerwca 2015 r.</w:t>
      </w:r>
    </w:p>
    <w:p w14:paraId="0507B0DF" w14:textId="77777777" w:rsidR="00E3507B" w:rsidRPr="00E3507B" w:rsidRDefault="00E3507B" w:rsidP="00E3507B">
      <w:pPr>
        <w:pStyle w:val="Teksttreci20"/>
        <w:shd w:val="clear" w:color="auto" w:fill="auto"/>
        <w:spacing w:before="0" w:after="720"/>
        <w:ind w:firstLine="620"/>
        <w:rPr>
          <w:rFonts w:ascii="Times New Roman" w:hAnsi="Times New Roman" w:cs="Times New Roman"/>
        </w:rPr>
      </w:pPr>
      <w:r w:rsidRPr="00E3507B">
        <w:rPr>
          <w:rFonts w:ascii="Times New Roman" w:hAnsi="Times New Roman" w:cs="Times New Roman"/>
        </w:rPr>
        <w:lastRenderedPageBreak/>
        <w:t>W dniu 08 czerwca 2015 r. pełnomocnik pozwanej złożył pismo zawierające wyłącznie oświadczenie o braku zgody na cofnięcie pozwu przez powoda.</w:t>
      </w:r>
    </w:p>
    <w:p w14:paraId="13191216" w14:textId="77777777" w:rsidR="00E3507B" w:rsidRPr="00E3507B" w:rsidRDefault="00E3507B" w:rsidP="00E3507B">
      <w:pPr>
        <w:pStyle w:val="Teksttreci20"/>
        <w:shd w:val="clear" w:color="auto" w:fill="auto"/>
        <w:spacing w:before="0" w:after="720"/>
        <w:rPr>
          <w:rFonts w:ascii="Times New Roman" w:hAnsi="Times New Roman" w:cs="Times New Roman"/>
        </w:rPr>
      </w:pPr>
      <w:r w:rsidRPr="00E3507B">
        <w:rPr>
          <w:rFonts w:ascii="Times New Roman" w:hAnsi="Times New Roman" w:cs="Times New Roman"/>
        </w:rPr>
        <w:t>Proszę przygotować projekt postanowienia Sądu Rejonowego dla Warszawy-Śródmieścia w Warszawie, jego uzasadnienia (nawet jeśli sporządzenia uzasadnienia nie wymagają przepisy procedury cywilnej) oraz zarządzenia o doręczeniu stronom odpisu postanowienia i dokonaniu pouczenia (jeśli wymagają tego przepisy postępowania).</w:t>
      </w:r>
    </w:p>
    <w:p w14:paraId="43D79CE0" w14:textId="77777777" w:rsidR="00E3507B" w:rsidRPr="00E3507B" w:rsidRDefault="00E3507B" w:rsidP="00E3507B">
      <w:pPr>
        <w:jc w:val="center"/>
        <w:rPr>
          <w:rFonts w:ascii="Times New Roman" w:hAnsi="Times New Roman" w:cs="Times New Roman"/>
        </w:rPr>
      </w:pPr>
    </w:p>
    <w:p w14:paraId="4F40B141" w14:textId="77777777" w:rsidR="00E3507B" w:rsidRPr="00E3507B" w:rsidRDefault="00E3507B" w:rsidP="00503EDA">
      <w:pPr>
        <w:spacing w:after="120" w:line="360" w:lineRule="auto"/>
        <w:contextualSpacing/>
        <w:rPr>
          <w:rFonts w:ascii="Times New Roman" w:hAnsi="Times New Roman" w:cs="Times New Roman"/>
        </w:rPr>
      </w:pPr>
    </w:p>
    <w:sectPr w:rsidR="00E3507B" w:rsidRPr="00E350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B05E2"/>
    <w:multiLevelType w:val="multilevel"/>
    <w:tmpl w:val="6D0CEF42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FE5599"/>
    <w:multiLevelType w:val="multilevel"/>
    <w:tmpl w:val="11927376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3537F1"/>
    <w:multiLevelType w:val="multilevel"/>
    <w:tmpl w:val="3FD8AF5C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3340C5"/>
    <w:multiLevelType w:val="multilevel"/>
    <w:tmpl w:val="AC629A3A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B466298"/>
    <w:multiLevelType w:val="multilevel"/>
    <w:tmpl w:val="BC0A6546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FC25A58"/>
    <w:multiLevelType w:val="multilevel"/>
    <w:tmpl w:val="0BE6F416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CBC4049"/>
    <w:multiLevelType w:val="multilevel"/>
    <w:tmpl w:val="77C8A4E4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7B22B81"/>
    <w:multiLevelType w:val="multilevel"/>
    <w:tmpl w:val="242C0196"/>
    <w:lvl w:ilvl="0">
      <w:start w:val="1"/>
      <w:numFmt w:val="decimal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91865F7"/>
    <w:multiLevelType w:val="multilevel"/>
    <w:tmpl w:val="2A64CAD4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9B91377"/>
    <w:multiLevelType w:val="multilevel"/>
    <w:tmpl w:val="04A467E4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4592C13"/>
    <w:multiLevelType w:val="multilevel"/>
    <w:tmpl w:val="A90E2E18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A815E7A"/>
    <w:multiLevelType w:val="multilevel"/>
    <w:tmpl w:val="16C4B8C2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0AA2F57"/>
    <w:multiLevelType w:val="multilevel"/>
    <w:tmpl w:val="82F8CBEC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28E2FC0"/>
    <w:multiLevelType w:val="multilevel"/>
    <w:tmpl w:val="4BD81218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50E135C"/>
    <w:multiLevelType w:val="multilevel"/>
    <w:tmpl w:val="A12A5B6E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201EF7"/>
    <w:multiLevelType w:val="multilevel"/>
    <w:tmpl w:val="4A04E462"/>
    <w:lvl w:ilvl="0">
      <w:start w:val="1"/>
      <w:numFmt w:val="lowerLetter"/>
      <w:lvlText w:val="%1."/>
      <w:lvlJc w:val="left"/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B7B29F8"/>
    <w:multiLevelType w:val="multilevel"/>
    <w:tmpl w:val="B900CBB8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5AE62B5"/>
    <w:multiLevelType w:val="multilevel"/>
    <w:tmpl w:val="2CA4000C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5DD68C0"/>
    <w:multiLevelType w:val="multilevel"/>
    <w:tmpl w:val="C088920E"/>
    <w:lvl w:ilvl="0">
      <w:start w:val="1"/>
      <w:numFmt w:val="lowerLetter"/>
      <w:lvlText w:val="%1."/>
      <w:lvlJc w:val="left"/>
      <w:rPr>
        <w:rFonts w:ascii="Times New Roman" w:eastAsia="Bookman Old Style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14616324">
    <w:abstractNumId w:val="17"/>
  </w:num>
  <w:num w:numId="2" w16cid:durableId="244455794">
    <w:abstractNumId w:val="13"/>
  </w:num>
  <w:num w:numId="3" w16cid:durableId="1722825891">
    <w:abstractNumId w:val="13"/>
  </w:num>
  <w:num w:numId="4" w16cid:durableId="939677841">
    <w:abstractNumId w:val="4"/>
  </w:num>
  <w:num w:numId="5" w16cid:durableId="828248301">
    <w:abstractNumId w:val="7"/>
  </w:num>
  <w:num w:numId="6" w16cid:durableId="285310599">
    <w:abstractNumId w:val="9"/>
  </w:num>
  <w:num w:numId="7" w16cid:durableId="1468621787">
    <w:abstractNumId w:val="15"/>
  </w:num>
  <w:num w:numId="8" w16cid:durableId="127213587">
    <w:abstractNumId w:val="14"/>
  </w:num>
  <w:num w:numId="9" w16cid:durableId="994533237">
    <w:abstractNumId w:val="8"/>
  </w:num>
  <w:num w:numId="10" w16cid:durableId="406541845">
    <w:abstractNumId w:val="2"/>
  </w:num>
  <w:num w:numId="11" w16cid:durableId="133569019">
    <w:abstractNumId w:val="12"/>
  </w:num>
  <w:num w:numId="12" w16cid:durableId="1067846085">
    <w:abstractNumId w:val="11"/>
  </w:num>
  <w:num w:numId="13" w16cid:durableId="1327243560">
    <w:abstractNumId w:val="22"/>
  </w:num>
  <w:num w:numId="14" w16cid:durableId="848712071">
    <w:abstractNumId w:val="16"/>
  </w:num>
  <w:num w:numId="15" w16cid:durableId="1012728927">
    <w:abstractNumId w:val="10"/>
  </w:num>
  <w:num w:numId="16" w16cid:durableId="1640652670">
    <w:abstractNumId w:val="6"/>
  </w:num>
  <w:num w:numId="17" w16cid:durableId="2051222537">
    <w:abstractNumId w:val="21"/>
  </w:num>
  <w:num w:numId="18" w16cid:durableId="537745647">
    <w:abstractNumId w:val="19"/>
  </w:num>
  <w:num w:numId="19" w16cid:durableId="1822304572">
    <w:abstractNumId w:val="0"/>
  </w:num>
  <w:num w:numId="20" w16cid:durableId="1040015922">
    <w:abstractNumId w:val="3"/>
  </w:num>
  <w:num w:numId="21" w16cid:durableId="1051540562">
    <w:abstractNumId w:val="5"/>
  </w:num>
  <w:num w:numId="22" w16cid:durableId="353769259">
    <w:abstractNumId w:val="20"/>
  </w:num>
  <w:num w:numId="23" w16cid:durableId="365328007">
    <w:abstractNumId w:val="1"/>
  </w:num>
  <w:num w:numId="24" w16cid:durableId="14935244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56B"/>
    <w:rsid w:val="00011BEE"/>
    <w:rsid w:val="0017340A"/>
    <w:rsid w:val="001B47F2"/>
    <w:rsid w:val="001F578F"/>
    <w:rsid w:val="003C5056"/>
    <w:rsid w:val="00404812"/>
    <w:rsid w:val="004E23CD"/>
    <w:rsid w:val="00503EDA"/>
    <w:rsid w:val="007F2758"/>
    <w:rsid w:val="008268BF"/>
    <w:rsid w:val="00886BAA"/>
    <w:rsid w:val="009A74E1"/>
    <w:rsid w:val="00B34EC7"/>
    <w:rsid w:val="00BB48D1"/>
    <w:rsid w:val="00C32AF7"/>
    <w:rsid w:val="00C66091"/>
    <w:rsid w:val="00D439EA"/>
    <w:rsid w:val="00DF22D4"/>
    <w:rsid w:val="00E3507B"/>
    <w:rsid w:val="00EC1D26"/>
    <w:rsid w:val="00EE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109E3"/>
  <w15:chartTrackingRefBased/>
  <w15:docId w15:val="{C1F0430C-F755-47AF-B6D7-F620BA1C7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456B"/>
    <w:pPr>
      <w:widowControl w:val="0"/>
      <w:spacing w:after="0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kern w:val="0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45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45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456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456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456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456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456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456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E456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EE45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45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456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456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456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456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456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456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456B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45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45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456B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456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45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45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45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45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45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45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456B"/>
    <w:rPr>
      <w:b/>
      <w:bCs/>
      <w:smallCaps/>
      <w:color w:val="0F4761" w:themeColor="accent1" w:themeShade="BF"/>
      <w:spacing w:val="5"/>
    </w:rPr>
  </w:style>
  <w:style w:type="character" w:customStyle="1" w:styleId="Podpisobrazu">
    <w:name w:val="Podpis obrazu_"/>
    <w:basedOn w:val="Domylnaczcionkaakapitu"/>
    <w:link w:val="Podpisobrazu0"/>
    <w:rsid w:val="00E3507B"/>
    <w:rPr>
      <w:rFonts w:ascii="Bookman Old Style" w:eastAsia="Bookman Old Style" w:hAnsi="Bookman Old Style" w:cs="Bookman Old Style"/>
      <w:b/>
      <w:bCs/>
      <w:shd w:val="clear" w:color="auto" w:fill="FFFFFF"/>
    </w:rPr>
  </w:style>
  <w:style w:type="character" w:customStyle="1" w:styleId="Nagwek10">
    <w:name w:val="Nagłówek #1_"/>
    <w:basedOn w:val="Domylnaczcionkaakapitu"/>
    <w:rsid w:val="00E350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u w:val="none"/>
    </w:rPr>
  </w:style>
  <w:style w:type="character" w:customStyle="1" w:styleId="Nagwek11">
    <w:name w:val="Nagłówek #1"/>
    <w:basedOn w:val="Nagwek10"/>
    <w:rsid w:val="00E3507B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E3507B"/>
    <w:rPr>
      <w:rFonts w:ascii="Bookman Old Style" w:eastAsia="Bookman Old Style" w:hAnsi="Bookman Old Style" w:cs="Bookman Old Style"/>
      <w:shd w:val="clear" w:color="auto" w:fill="FFFFFF"/>
    </w:rPr>
  </w:style>
  <w:style w:type="paragraph" w:customStyle="1" w:styleId="Podpisobrazu0">
    <w:name w:val="Podpis obrazu"/>
    <w:basedOn w:val="Normalny"/>
    <w:link w:val="Podpisobrazu"/>
    <w:rsid w:val="00E3507B"/>
    <w:pPr>
      <w:shd w:val="clear" w:color="auto" w:fill="FFFFFF"/>
      <w:spacing w:line="374" w:lineRule="exact"/>
    </w:pPr>
    <w:rPr>
      <w:rFonts w:ascii="Bookman Old Style" w:eastAsia="Bookman Old Style" w:hAnsi="Bookman Old Style" w:cs="Bookman Old Style"/>
      <w:b/>
      <w:bCs/>
      <w:color w:val="auto"/>
      <w:kern w:val="2"/>
      <w:lang w:eastAsia="en-US" w:bidi="ar-SA"/>
      <w14:ligatures w14:val="standardContextual"/>
    </w:rPr>
  </w:style>
  <w:style w:type="paragraph" w:customStyle="1" w:styleId="Teksttreci20">
    <w:name w:val="Tekst treści (2)"/>
    <w:basedOn w:val="Normalny"/>
    <w:link w:val="Teksttreci2"/>
    <w:rsid w:val="00E3507B"/>
    <w:pPr>
      <w:shd w:val="clear" w:color="auto" w:fill="FFFFFF"/>
      <w:spacing w:before="480" w:line="374" w:lineRule="exact"/>
      <w:jc w:val="both"/>
    </w:pPr>
    <w:rPr>
      <w:rFonts w:ascii="Bookman Old Style" w:eastAsia="Bookman Old Style" w:hAnsi="Bookman Old Style" w:cs="Bookman Old Style"/>
      <w:color w:val="auto"/>
      <w:kern w:val="2"/>
      <w:lang w:eastAsia="en-US" w:bidi="ar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4</cp:revision>
  <dcterms:created xsi:type="dcterms:W3CDTF">2026-07-22T08:28:00Z</dcterms:created>
  <dcterms:modified xsi:type="dcterms:W3CDTF">2026-07-29T08:45:00Z</dcterms:modified>
</cp:coreProperties>
</file>