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20FF8" w14:textId="77777777" w:rsidR="00013011" w:rsidRPr="00340D94" w:rsidRDefault="00013011" w:rsidP="00340D94">
      <w:pPr>
        <w:spacing w:after="0"/>
        <w:ind w:left="0" w:right="0" w:firstLine="0"/>
        <w:rPr>
          <w:rFonts w:eastAsia="Times New Roman" w:cs="Times New Roman"/>
          <w:kern w:val="0"/>
          <w:lang w:eastAsia="pl-PL"/>
          <w14:ligatures w14:val="none"/>
        </w:rPr>
      </w:pPr>
      <w:r w:rsidRPr="00340D94">
        <w:rPr>
          <w:rFonts w:eastAsia="Times New Roman" w:cs="Times New Roman"/>
          <w:kern w:val="0"/>
          <w:lang w:eastAsia="pl-PL"/>
          <w14:ligatures w14:val="none"/>
        </w:rPr>
        <w:t>Pytania z zakresu prawa cywilnego oraz postępowania cywilnego</w:t>
      </w:r>
    </w:p>
    <w:p w14:paraId="1A0B75E3" w14:textId="77777777" w:rsidR="00013011" w:rsidRPr="00340D94" w:rsidRDefault="00013011" w:rsidP="00F62A80">
      <w:pPr>
        <w:spacing w:after="0"/>
        <w:ind w:left="0" w:right="0" w:hanging="426"/>
        <w:rPr>
          <w:rFonts w:eastAsia="Times New Roman" w:cs="Times New Roman"/>
          <w:kern w:val="0"/>
          <w:lang w:eastAsia="pl-PL"/>
          <w14:ligatures w14:val="none"/>
        </w:rPr>
      </w:pPr>
    </w:p>
    <w:p w14:paraId="44B6424F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Ograniczoną zdolność do czynności prawnych ma osoba, która ukończyła:</w:t>
      </w:r>
    </w:p>
    <w:p w14:paraId="1F1A970F" w14:textId="77777777" w:rsidR="00013011" w:rsidRPr="00340D94" w:rsidRDefault="00013011" w:rsidP="00F62A80">
      <w:pPr>
        <w:numPr>
          <w:ilvl w:val="0"/>
          <w:numId w:val="7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13 lat;</w:t>
      </w:r>
    </w:p>
    <w:p w14:paraId="5A21E36E" w14:textId="77777777" w:rsidR="00013011" w:rsidRPr="00340D94" w:rsidRDefault="00013011" w:rsidP="00F62A80">
      <w:pPr>
        <w:numPr>
          <w:ilvl w:val="0"/>
          <w:numId w:val="7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8 lat;</w:t>
      </w:r>
    </w:p>
    <w:p w14:paraId="611EC9A7" w14:textId="77777777" w:rsidR="00013011" w:rsidRPr="00340D94" w:rsidRDefault="00013011" w:rsidP="00F62A80">
      <w:pPr>
        <w:numPr>
          <w:ilvl w:val="0"/>
          <w:numId w:val="7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10 lat.</w:t>
      </w:r>
    </w:p>
    <w:p w14:paraId="752AEB93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0A9C536D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Ważność umowy, która została zawarta przez osobę ograniczoną w zdolności do czynności prawnych bez wymaganej zgody jej przedstawiciela ustawowego:</w:t>
      </w:r>
    </w:p>
    <w:p w14:paraId="2A393B2A" w14:textId="77777777" w:rsidR="00013011" w:rsidRPr="00340D94" w:rsidRDefault="00013011" w:rsidP="00F62A80">
      <w:pPr>
        <w:numPr>
          <w:ilvl w:val="0"/>
          <w:numId w:val="8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zależy od potwierdzenia umowy przez przedstawiciela ustawowego tej osoby ograniczonej w zdolności do czynności prawnej;</w:t>
      </w:r>
    </w:p>
    <w:p w14:paraId="709F876E" w14:textId="77777777" w:rsidR="00013011" w:rsidRPr="00340D94" w:rsidRDefault="00013011" w:rsidP="00F62A80">
      <w:pPr>
        <w:numPr>
          <w:ilvl w:val="0"/>
          <w:numId w:val="8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nie zależy od potwierdzenia przez jakąkolwiek osobę lub instytucję;</w:t>
      </w:r>
    </w:p>
    <w:p w14:paraId="331B8A9C" w14:textId="77777777" w:rsidR="00013011" w:rsidRPr="00340D94" w:rsidRDefault="00013011" w:rsidP="00F62A80">
      <w:pPr>
        <w:numPr>
          <w:ilvl w:val="0"/>
          <w:numId w:val="8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zależy od potwierdzenia przez drugą stronę umowy.</w:t>
      </w:r>
    </w:p>
    <w:p w14:paraId="42A1620E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443B95B1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W postępowaniu cywilnym o zapłatę przeciwko pozwanemu konsumentowi, po dniu 09 lipca 2018 r. sąd bierze pod uwagę przedawnienie:</w:t>
      </w:r>
    </w:p>
    <w:p w14:paraId="3CEA82A4" w14:textId="77777777" w:rsidR="00013011" w:rsidRPr="00340D94" w:rsidRDefault="00013011" w:rsidP="00F62A80">
      <w:pPr>
        <w:numPr>
          <w:ilvl w:val="0"/>
          <w:numId w:val="9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na zarzut pozwanego;</w:t>
      </w:r>
    </w:p>
    <w:p w14:paraId="0BA2912B" w14:textId="77777777" w:rsidR="00013011" w:rsidRPr="00340D94" w:rsidRDefault="00013011" w:rsidP="00F62A80">
      <w:pPr>
        <w:numPr>
          <w:ilvl w:val="0"/>
          <w:numId w:val="9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na zarzut powoda;</w:t>
      </w:r>
    </w:p>
    <w:p w14:paraId="76A7CBF3" w14:textId="77777777" w:rsidR="00013011" w:rsidRPr="00340D94" w:rsidRDefault="00013011" w:rsidP="00F62A80">
      <w:pPr>
        <w:numPr>
          <w:ilvl w:val="0"/>
          <w:numId w:val="9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z urzędu.</w:t>
      </w:r>
    </w:p>
    <w:p w14:paraId="1E48255C" w14:textId="77777777" w:rsidR="00013011" w:rsidRPr="00340D94" w:rsidRDefault="00013011" w:rsidP="00F62A80">
      <w:pPr>
        <w:spacing w:after="200"/>
        <w:ind w:left="1068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50CE0C78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Wpis do księgi wieczystej w przypadku ustanowienia hipoteki:</w:t>
      </w:r>
    </w:p>
    <w:p w14:paraId="0BC12D77" w14:textId="77777777" w:rsidR="00013011" w:rsidRPr="00340D94" w:rsidRDefault="00013011" w:rsidP="00F62A80">
      <w:pPr>
        <w:numPr>
          <w:ilvl w:val="0"/>
          <w:numId w:val="10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ma charakter konstytutywny;</w:t>
      </w:r>
    </w:p>
    <w:p w14:paraId="0CF9E7DB" w14:textId="77777777" w:rsidR="00013011" w:rsidRPr="00340D94" w:rsidRDefault="00013011" w:rsidP="00F62A80">
      <w:pPr>
        <w:numPr>
          <w:ilvl w:val="0"/>
          <w:numId w:val="10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ma charakter deklaratoryjny;</w:t>
      </w:r>
    </w:p>
    <w:p w14:paraId="6A4063D2" w14:textId="77777777" w:rsidR="00013011" w:rsidRPr="00340D94" w:rsidRDefault="00013011" w:rsidP="00F62A80">
      <w:pPr>
        <w:numPr>
          <w:ilvl w:val="0"/>
          <w:numId w:val="10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nie ma znaczenia dla bytu hipoteki.</w:t>
      </w:r>
    </w:p>
    <w:p w14:paraId="43425006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6204BCC3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Ograniczonym prawem rzeczowym jest:</w:t>
      </w:r>
    </w:p>
    <w:p w14:paraId="6ACA62B9" w14:textId="77777777" w:rsidR="00013011" w:rsidRPr="00340D94" w:rsidRDefault="00013011" w:rsidP="00F62A80">
      <w:pPr>
        <w:numPr>
          <w:ilvl w:val="0"/>
          <w:numId w:val="11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dożywocie;</w:t>
      </w:r>
    </w:p>
    <w:p w14:paraId="713A43E6" w14:textId="77777777" w:rsidR="00013011" w:rsidRPr="00340D94" w:rsidRDefault="00013011" w:rsidP="00F62A80">
      <w:pPr>
        <w:numPr>
          <w:ilvl w:val="0"/>
          <w:numId w:val="11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dzierżawa;</w:t>
      </w:r>
    </w:p>
    <w:p w14:paraId="634BAF96" w14:textId="77777777" w:rsidR="00013011" w:rsidRPr="00340D94" w:rsidRDefault="00013011" w:rsidP="00F62A80">
      <w:pPr>
        <w:numPr>
          <w:ilvl w:val="0"/>
          <w:numId w:val="11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użytkowanie.</w:t>
      </w:r>
    </w:p>
    <w:p w14:paraId="699BF005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1E53EA8D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Ustanowienie ograniczonego prawa rzeczowego na nieruchomości;</w:t>
      </w:r>
    </w:p>
    <w:p w14:paraId="1459EAEF" w14:textId="77777777" w:rsidR="00013011" w:rsidRPr="00340D94" w:rsidRDefault="00013011" w:rsidP="00F62A80">
      <w:pPr>
        <w:numPr>
          <w:ilvl w:val="0"/>
          <w:numId w:val="12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wymaga formy aktu notarialnego dla oświadczeń obu stron i nie może być zawarte ani pod warunkiem ani z zastrzeżeniem terminu;</w:t>
      </w:r>
    </w:p>
    <w:p w14:paraId="58967FC8" w14:textId="77777777" w:rsidR="00013011" w:rsidRPr="00340D94" w:rsidRDefault="00013011" w:rsidP="00F62A80">
      <w:pPr>
        <w:numPr>
          <w:ilvl w:val="0"/>
          <w:numId w:val="12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wymaga formy aktu notarialnego dla oświadczeń obu stron i może być zawarte pod warunkiem lub zastrzeżeniem terminu;</w:t>
      </w:r>
    </w:p>
    <w:p w14:paraId="20B0F4E6" w14:textId="77777777" w:rsidR="00013011" w:rsidRPr="00340D94" w:rsidRDefault="00013011" w:rsidP="00F62A80">
      <w:pPr>
        <w:numPr>
          <w:ilvl w:val="0"/>
          <w:numId w:val="12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wymaga formy aktu notarialnego tylko dla oświadczenia właściciela, który ustanawia prawo i może być zawarte pod warunkiem lub z zastrzeżeniem terminu.</w:t>
      </w:r>
    </w:p>
    <w:p w14:paraId="3FAFDBD8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5891C176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Roszczenia windykacyjne i negatoryjne właściciela nieruchomości co do tej nieruchomości przeciwko osobie trzeciej:</w:t>
      </w:r>
    </w:p>
    <w:p w14:paraId="6AB7BD75" w14:textId="77777777" w:rsidR="00013011" w:rsidRPr="00340D94" w:rsidRDefault="00013011" w:rsidP="00F62A80">
      <w:pPr>
        <w:numPr>
          <w:ilvl w:val="0"/>
          <w:numId w:val="13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nie ulegają przedawnieniu;</w:t>
      </w:r>
    </w:p>
    <w:p w14:paraId="25EC196E" w14:textId="77777777" w:rsidR="00013011" w:rsidRPr="00340D94" w:rsidRDefault="00013011" w:rsidP="00F62A80">
      <w:pPr>
        <w:numPr>
          <w:ilvl w:val="0"/>
          <w:numId w:val="13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przedawniają się z upływem lat 3;</w:t>
      </w:r>
    </w:p>
    <w:p w14:paraId="6D986853" w14:textId="77777777" w:rsidR="00013011" w:rsidRPr="00340D94" w:rsidRDefault="00013011" w:rsidP="00F62A80">
      <w:pPr>
        <w:numPr>
          <w:ilvl w:val="0"/>
          <w:numId w:val="13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przedawniają się z upływem lat 10.</w:t>
      </w:r>
    </w:p>
    <w:p w14:paraId="0AE7306A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62391A83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lastRenderedPageBreak/>
        <w:t>Przerwanie lub zawieszenie biegu przedawnienia wobec jednego ze   współdłużników solidarnych:</w:t>
      </w:r>
    </w:p>
    <w:p w14:paraId="43BB02C9" w14:textId="77777777" w:rsidR="00013011" w:rsidRPr="00340D94" w:rsidRDefault="00013011" w:rsidP="00F62A80">
      <w:pPr>
        <w:numPr>
          <w:ilvl w:val="0"/>
          <w:numId w:val="14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ma skutek wobec współdłużników;</w:t>
      </w:r>
    </w:p>
    <w:p w14:paraId="7866A1C6" w14:textId="77777777" w:rsidR="00013011" w:rsidRPr="00340D94" w:rsidRDefault="00013011" w:rsidP="00F62A80">
      <w:pPr>
        <w:numPr>
          <w:ilvl w:val="0"/>
          <w:numId w:val="14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nie ma skutku wobec współdłużników;</w:t>
      </w:r>
    </w:p>
    <w:p w14:paraId="14591115" w14:textId="77777777" w:rsidR="00013011" w:rsidRPr="00340D94" w:rsidRDefault="00013011" w:rsidP="00F62A80">
      <w:pPr>
        <w:numPr>
          <w:ilvl w:val="0"/>
          <w:numId w:val="14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ma skutek tylko wobec osób trzecich.</w:t>
      </w:r>
    </w:p>
    <w:p w14:paraId="37F118B0" w14:textId="77777777" w:rsidR="00013011" w:rsidRPr="00340D94" w:rsidRDefault="00013011" w:rsidP="00F62A80">
      <w:pPr>
        <w:spacing w:after="200"/>
        <w:ind w:left="1068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374CEB69" w14:textId="77777777" w:rsidR="00013011" w:rsidRPr="00340D94" w:rsidRDefault="00013011" w:rsidP="00F62A80">
      <w:pPr>
        <w:spacing w:after="200"/>
        <w:ind w:left="1068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1CEFDBF6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Jeżeli kilka osób zaciągnęło zobowiązania dotyczące ich wspólnego mienia, to na podstawie przepisów kodeksu cywilnego zobowiązanie tych osób:</w:t>
      </w:r>
    </w:p>
    <w:p w14:paraId="38D6246A" w14:textId="77777777" w:rsidR="00013011" w:rsidRPr="00340D94" w:rsidRDefault="00013011" w:rsidP="00F62A80">
      <w:pPr>
        <w:numPr>
          <w:ilvl w:val="0"/>
          <w:numId w:val="15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ma charakter solidarny, chyba, że inaczej umówiono się;</w:t>
      </w:r>
    </w:p>
    <w:p w14:paraId="0A3FCB41" w14:textId="77777777" w:rsidR="00013011" w:rsidRPr="00340D94" w:rsidRDefault="00013011" w:rsidP="00F62A80">
      <w:pPr>
        <w:numPr>
          <w:ilvl w:val="0"/>
          <w:numId w:val="15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 xml:space="preserve">ma charakter in </w:t>
      </w:r>
      <w:proofErr w:type="spellStart"/>
      <w:r w:rsidRPr="00340D94">
        <w:rPr>
          <w:rFonts w:eastAsia="Calibri" w:cs="Times New Roman"/>
          <w:kern w:val="0"/>
          <w14:ligatures w14:val="none"/>
        </w:rPr>
        <w:t>solidum</w:t>
      </w:r>
      <w:proofErr w:type="spellEnd"/>
      <w:r w:rsidRPr="00340D94">
        <w:rPr>
          <w:rFonts w:eastAsia="Calibri" w:cs="Times New Roman"/>
          <w:kern w:val="0"/>
          <w14:ligatures w14:val="none"/>
        </w:rPr>
        <w:t>;</w:t>
      </w:r>
    </w:p>
    <w:p w14:paraId="4C6540CC" w14:textId="77777777" w:rsidR="00013011" w:rsidRPr="00340D94" w:rsidRDefault="00013011" w:rsidP="00F62A80">
      <w:pPr>
        <w:numPr>
          <w:ilvl w:val="0"/>
          <w:numId w:val="15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istnieje do wysokości udziałów we współwłasności rzeczy..</w:t>
      </w:r>
    </w:p>
    <w:p w14:paraId="6373B730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6947878C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Od chwili ustania wspólności majątkowej małżeńskiej, do majątku, który był nią objęty jak również do podziału tego majątku stosuje się odpowiednio przepisy:</w:t>
      </w:r>
    </w:p>
    <w:p w14:paraId="78280143" w14:textId="77777777" w:rsidR="00013011" w:rsidRPr="00340D94" w:rsidRDefault="00013011" w:rsidP="00F62A80">
      <w:pPr>
        <w:numPr>
          <w:ilvl w:val="0"/>
          <w:numId w:val="1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dotyczące umowy spółki cywilnej;</w:t>
      </w:r>
    </w:p>
    <w:p w14:paraId="31C56DC3" w14:textId="77777777" w:rsidR="00013011" w:rsidRPr="00340D94" w:rsidRDefault="00013011" w:rsidP="00F62A80">
      <w:pPr>
        <w:numPr>
          <w:ilvl w:val="0"/>
          <w:numId w:val="1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dotyczące wspólności łącznej;</w:t>
      </w:r>
    </w:p>
    <w:p w14:paraId="7E10A695" w14:textId="77777777" w:rsidR="00013011" w:rsidRPr="00340D94" w:rsidRDefault="00013011" w:rsidP="00F62A80">
      <w:pPr>
        <w:numPr>
          <w:ilvl w:val="0"/>
          <w:numId w:val="1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dotyczące wspólności majątku spadkowego i o dziale spadku.</w:t>
      </w:r>
    </w:p>
    <w:p w14:paraId="5FD38CAD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:u w:val="single"/>
          <w14:ligatures w14:val="none"/>
        </w:rPr>
      </w:pPr>
    </w:p>
    <w:p w14:paraId="51C8AE13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:u w:val="single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Oświadczenie o odrzuceniu spadku można złożyć w terminie:</w:t>
      </w:r>
    </w:p>
    <w:p w14:paraId="1ACAF7F4" w14:textId="77777777" w:rsidR="00013011" w:rsidRPr="00340D94" w:rsidRDefault="00013011" w:rsidP="00F62A80">
      <w:pPr>
        <w:numPr>
          <w:ilvl w:val="0"/>
          <w:numId w:val="17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6 miesięcy od daty dowiedzenia się przez spadkobiercę o tytule swojego powołania;</w:t>
      </w:r>
    </w:p>
    <w:p w14:paraId="77971870" w14:textId="77777777" w:rsidR="00013011" w:rsidRPr="00340D94" w:rsidRDefault="00013011" w:rsidP="00F62A80">
      <w:pPr>
        <w:numPr>
          <w:ilvl w:val="0"/>
          <w:numId w:val="17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:u w:val="single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3 miesięcy od śmierci spadkodawcy;</w:t>
      </w:r>
    </w:p>
    <w:p w14:paraId="7A9187DB" w14:textId="77777777" w:rsidR="00013011" w:rsidRPr="00340D94" w:rsidRDefault="00013011" w:rsidP="00F62A80">
      <w:pPr>
        <w:numPr>
          <w:ilvl w:val="0"/>
          <w:numId w:val="17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1 miesiąca od dnia uprawomocnienia się postanowienia o stwierdzeniu nabycia spadku.</w:t>
      </w:r>
    </w:p>
    <w:p w14:paraId="3C15D079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2BEB8BCC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W przypadku dziedziczenia ustawowego jeżeli dziecko spadkodawcy nie dożyło do otwarcia spadku udział spadkowy, który by mu przypadał przypada:</w:t>
      </w:r>
    </w:p>
    <w:p w14:paraId="065EE2C9" w14:textId="77777777" w:rsidR="00013011" w:rsidRPr="00340D94" w:rsidRDefault="00013011" w:rsidP="00F62A80">
      <w:pPr>
        <w:numPr>
          <w:ilvl w:val="0"/>
          <w:numId w:val="18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jego dzieciom w częściach równych;</w:t>
      </w:r>
    </w:p>
    <w:p w14:paraId="012EEC0D" w14:textId="77777777" w:rsidR="00013011" w:rsidRPr="00340D94" w:rsidRDefault="00013011" w:rsidP="00F62A80">
      <w:pPr>
        <w:numPr>
          <w:ilvl w:val="0"/>
          <w:numId w:val="18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pozostałym przy życiu rodzicom spadkodawcy;;</w:t>
      </w:r>
    </w:p>
    <w:p w14:paraId="00225697" w14:textId="77777777" w:rsidR="00013011" w:rsidRPr="00340D94" w:rsidRDefault="00013011" w:rsidP="00F62A80">
      <w:pPr>
        <w:numPr>
          <w:ilvl w:val="0"/>
          <w:numId w:val="18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pozostałemu przy życiu małżonkowi spadkodawcy.</w:t>
      </w:r>
    </w:p>
    <w:p w14:paraId="4060843F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51BE3C5D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Jeden testament może być sporządzony:</w:t>
      </w:r>
    </w:p>
    <w:p w14:paraId="0A1E9734" w14:textId="77777777" w:rsidR="00013011" w:rsidRPr="00340D94" w:rsidRDefault="00013011" w:rsidP="00F62A80">
      <w:pPr>
        <w:numPr>
          <w:ilvl w:val="0"/>
          <w:numId w:val="19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przez jedną osobę jak również przez małżonków;</w:t>
      </w:r>
    </w:p>
    <w:p w14:paraId="529B4A15" w14:textId="77777777" w:rsidR="00013011" w:rsidRPr="00340D94" w:rsidRDefault="00013011" w:rsidP="00F62A80">
      <w:pPr>
        <w:numPr>
          <w:ilvl w:val="0"/>
          <w:numId w:val="19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tylko przez jedną osobę;</w:t>
      </w:r>
    </w:p>
    <w:p w14:paraId="2A75D734" w14:textId="77777777" w:rsidR="00013011" w:rsidRPr="00340D94" w:rsidRDefault="00013011" w:rsidP="00F62A80">
      <w:pPr>
        <w:numPr>
          <w:ilvl w:val="0"/>
          <w:numId w:val="19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przez jedną osobę jak również przez kilka osób, niezależnie czy są małżonkami.</w:t>
      </w:r>
      <w:r w:rsidRPr="00340D94">
        <w:rPr>
          <w:rFonts w:eastAsia="Calibri" w:cs="Times New Roman"/>
          <w:kern w:val="0"/>
          <w14:ligatures w14:val="none"/>
        </w:rPr>
        <w:br/>
      </w:r>
    </w:p>
    <w:p w14:paraId="05CDBBFD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Pozew podlega odrzuceniu, gdy:</w:t>
      </w:r>
    </w:p>
    <w:p w14:paraId="40B18112" w14:textId="77777777" w:rsidR="00013011" w:rsidRPr="00340D94" w:rsidRDefault="00013011" w:rsidP="00F62A80">
      <w:pPr>
        <w:numPr>
          <w:ilvl w:val="0"/>
          <w:numId w:val="20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po stronie powoda brak legitymacji czynnej;</w:t>
      </w:r>
    </w:p>
    <w:p w14:paraId="74B17729" w14:textId="77777777" w:rsidR="00013011" w:rsidRPr="00340D94" w:rsidRDefault="00013011" w:rsidP="00F62A80">
      <w:pPr>
        <w:numPr>
          <w:ilvl w:val="0"/>
          <w:numId w:val="20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roszczenie jest przedawnione;</w:t>
      </w:r>
    </w:p>
    <w:p w14:paraId="5735681D" w14:textId="77777777" w:rsidR="00013011" w:rsidRPr="00340D94" w:rsidRDefault="00013011" w:rsidP="00F62A80">
      <w:pPr>
        <w:numPr>
          <w:ilvl w:val="0"/>
          <w:numId w:val="20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o to samo roszczenie sprawa została już prawomocnie osądzona.</w:t>
      </w:r>
    </w:p>
    <w:p w14:paraId="36E80311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:u w:val="single"/>
          <w14:ligatures w14:val="none"/>
        </w:rPr>
      </w:pPr>
    </w:p>
    <w:p w14:paraId="7DCA778B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Nieważność postępowania zachodzi, gdy:</w:t>
      </w:r>
    </w:p>
    <w:p w14:paraId="5B58FD90" w14:textId="77777777" w:rsidR="00013011" w:rsidRPr="00340D94" w:rsidRDefault="00013011" w:rsidP="00F62A80">
      <w:pPr>
        <w:numPr>
          <w:ilvl w:val="0"/>
          <w:numId w:val="21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w sprawie orzekł sąd rejonowy, pomimo, że do rozpoznania tej sprawy jest właściwy sąd okręgowy bez względu na wartość przedmiotu sporu;</w:t>
      </w:r>
    </w:p>
    <w:p w14:paraId="00047713" w14:textId="77777777" w:rsidR="00013011" w:rsidRPr="00340D94" w:rsidRDefault="00013011" w:rsidP="00F62A80">
      <w:pPr>
        <w:numPr>
          <w:ilvl w:val="0"/>
          <w:numId w:val="21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w sprawie o stwierdzenie nabycia spadku orzekł sąd okręgowy;</w:t>
      </w:r>
    </w:p>
    <w:p w14:paraId="4658CDBF" w14:textId="77777777" w:rsidR="00013011" w:rsidRPr="00340D94" w:rsidRDefault="00013011" w:rsidP="00F62A80">
      <w:pPr>
        <w:numPr>
          <w:ilvl w:val="0"/>
          <w:numId w:val="21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lastRenderedPageBreak/>
        <w:t>w sprawie o zapłatę kwoty 500.000,- zł orzekł sąd rejonowy.</w:t>
      </w:r>
    </w:p>
    <w:p w14:paraId="57D9FAEB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607BEB9A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0D0A51CF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W sprawach o zniesienie współwłasności właściwy jest:</w:t>
      </w:r>
    </w:p>
    <w:p w14:paraId="5FF12406" w14:textId="77777777" w:rsidR="00013011" w:rsidRPr="00340D94" w:rsidRDefault="00013011" w:rsidP="00F62A80">
      <w:pPr>
        <w:numPr>
          <w:ilvl w:val="0"/>
          <w:numId w:val="22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tylko sąd okręgowy bez względu na wartość przedmiotu postępowania;</w:t>
      </w:r>
    </w:p>
    <w:p w14:paraId="40FFF25D" w14:textId="77777777" w:rsidR="00013011" w:rsidRPr="00340D94" w:rsidRDefault="00013011" w:rsidP="00F62A80">
      <w:pPr>
        <w:numPr>
          <w:ilvl w:val="0"/>
          <w:numId w:val="22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tylko sąd rejonowy bez względu na wartość przedmiotu postępowania;</w:t>
      </w:r>
    </w:p>
    <w:p w14:paraId="3601C11D" w14:textId="77777777" w:rsidR="00013011" w:rsidRPr="00340D94" w:rsidRDefault="00013011" w:rsidP="00F62A80">
      <w:pPr>
        <w:numPr>
          <w:ilvl w:val="0"/>
          <w:numId w:val="22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do wartości przedmiotu postępowania 75.000,- zł jest właściwy sąd rejonowy, zaś powyżej tej wartości właściwy jest sąd okręgowy.</w:t>
      </w:r>
    </w:p>
    <w:p w14:paraId="7C5A3B84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14:ligatures w14:val="none"/>
        </w:rPr>
      </w:pPr>
    </w:p>
    <w:p w14:paraId="2CAA29D2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W przypadku, gdy pozew nie został podpisany sąd powinien:</w:t>
      </w:r>
    </w:p>
    <w:p w14:paraId="1713224D" w14:textId="77777777" w:rsidR="00013011" w:rsidRPr="00340D94" w:rsidRDefault="00013011" w:rsidP="00F62A80">
      <w:pPr>
        <w:numPr>
          <w:ilvl w:val="0"/>
          <w:numId w:val="23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pozew odrzucić;</w:t>
      </w:r>
    </w:p>
    <w:p w14:paraId="5417A29D" w14:textId="77777777" w:rsidR="00013011" w:rsidRPr="00340D94" w:rsidRDefault="00013011" w:rsidP="00F62A80">
      <w:pPr>
        <w:numPr>
          <w:ilvl w:val="0"/>
          <w:numId w:val="23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postępowanie umorzyć;</w:t>
      </w:r>
    </w:p>
    <w:p w14:paraId="29C6352E" w14:textId="77777777" w:rsidR="00013011" w:rsidRPr="00340D94" w:rsidRDefault="00013011" w:rsidP="00F62A80">
      <w:pPr>
        <w:numPr>
          <w:ilvl w:val="0"/>
          <w:numId w:val="23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wezwać powoda do uzupełnienia braków formalnych pozwu poprzez jego własnoręczne podpisanie i zakreślić mu do wykonania tego zobowiązania termin tygodniowy od daty doręczenia wezwania - pod rygorem zwrotu pozwu.</w:t>
      </w:r>
    </w:p>
    <w:p w14:paraId="33F2FEE0" w14:textId="77777777" w:rsidR="00013011" w:rsidRPr="00340D94" w:rsidRDefault="00013011" w:rsidP="00F62A80">
      <w:pPr>
        <w:spacing w:after="200"/>
        <w:ind w:left="1080" w:right="0" w:hanging="426"/>
        <w:contextualSpacing/>
        <w:rPr>
          <w:rFonts w:eastAsia="Calibri" w:cs="Times New Roman"/>
          <w:kern w:val="0"/>
          <w:u w:val="single"/>
          <w14:ligatures w14:val="none"/>
        </w:rPr>
      </w:pPr>
    </w:p>
    <w:p w14:paraId="0C28B710" w14:textId="77777777" w:rsidR="00013011" w:rsidRPr="00340D94" w:rsidRDefault="00013011" w:rsidP="00F62A80">
      <w:pPr>
        <w:numPr>
          <w:ilvl w:val="0"/>
          <w:numId w:val="6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 xml:space="preserve">Wniesienie sprzeciwu od nakazu zapłaty w postępowaniu upominawczym,                   w ustawowym terminie, należycie opłaconego i pozbawionego braków formalnych powoduje, że: </w:t>
      </w:r>
    </w:p>
    <w:p w14:paraId="11039291" w14:textId="77777777" w:rsidR="00013011" w:rsidRPr="00340D94" w:rsidRDefault="00013011" w:rsidP="00F62A80">
      <w:pPr>
        <w:numPr>
          <w:ilvl w:val="0"/>
          <w:numId w:val="24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sąd wydaje postanowienie o umorzeniu postępowania;</w:t>
      </w:r>
    </w:p>
    <w:p w14:paraId="511A8F87" w14:textId="77777777" w:rsidR="00013011" w:rsidRPr="00340D94" w:rsidRDefault="00013011" w:rsidP="00F62A80">
      <w:pPr>
        <w:numPr>
          <w:ilvl w:val="0"/>
          <w:numId w:val="24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sąd wydaje postanowienie odrzucenie pozwu;</w:t>
      </w:r>
    </w:p>
    <w:p w14:paraId="0301197F" w14:textId="77777777" w:rsidR="00013011" w:rsidRPr="00340D94" w:rsidRDefault="00013011" w:rsidP="00F62A80">
      <w:pPr>
        <w:numPr>
          <w:ilvl w:val="0"/>
          <w:numId w:val="24"/>
        </w:numPr>
        <w:spacing w:after="200" w:line="276" w:lineRule="auto"/>
        <w:ind w:right="0" w:hanging="426"/>
        <w:contextualSpacing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t>nakaz zapłaty traci moc, a przewodniczący wyznacza rozprawę i zarządza doręczenie powodowi sprzeciwu razem z wezwaniem na rozprawę.</w:t>
      </w:r>
    </w:p>
    <w:p w14:paraId="1D7CE3BC" w14:textId="77777777" w:rsidR="00340D94" w:rsidRDefault="00340D94" w:rsidP="00F62A80">
      <w:pPr>
        <w:widowControl w:val="0"/>
        <w:spacing w:after="304" w:line="370" w:lineRule="exact"/>
        <w:ind w:left="0" w:right="0" w:firstLine="0"/>
        <w:rPr>
          <w:rFonts w:eastAsia="Times New Roman" w:cs="Times New Roman"/>
          <w:kern w:val="0"/>
          <w14:ligatures w14:val="none"/>
        </w:rPr>
      </w:pPr>
    </w:p>
    <w:p w14:paraId="1B83A88D" w14:textId="16FDB106" w:rsidR="00013011" w:rsidRPr="00340D94" w:rsidRDefault="00013011" w:rsidP="00F62A80">
      <w:pPr>
        <w:widowControl w:val="0"/>
        <w:spacing w:after="304" w:line="370" w:lineRule="exact"/>
        <w:ind w:left="0" w:right="0" w:firstLine="0"/>
        <w:rPr>
          <w:rFonts w:eastAsia="Times New Roman" w:cs="Times New Roman"/>
          <w:kern w:val="0"/>
          <w14:ligatures w14:val="none"/>
        </w:rPr>
      </w:pPr>
      <w:r w:rsidRPr="00340D94">
        <w:rPr>
          <w:rFonts w:eastAsia="Times New Roman" w:cs="Times New Roman"/>
          <w:kern w:val="0"/>
          <w14:ligatures w14:val="none"/>
        </w:rPr>
        <w:t>Dnia 12 listopada 2019r. Sąd Rejonowy dla Warszawy - Śródmieścia w Warszawie wydał wyrok zaoczny, w którym w punkcie 1. zasądził od pozwanego Adama Kowalskiego na rzecz powoda Tomasza Nowaka kwotę 50.000 zł, a w punkcie 2 wyrokowi w zakresie punktu 1 nadał rygor natychmiastowej wykonalności. W dniu 13 listopada 2019r. powód złożył wniosek o nadanie klauzuli wykonalności temu wyrokowi w punkcie 1 jako natychmiast wykonalnemu. Sąd postanowieniem z dnia 15 listopada 2019r. uwzględnił wniosek powoda i nadał wyrokowi w punkcie 1 klauzulę wykonalności jako natychmiast wykonalnemu. Pozwany dnia 19 listopada 2019r. złożył zażalenie na to postanowienie, wnosząc o jego uchylenie. Podniósł, że wyrokowi nie można było nadać klauzuli wykonalności, gdyż jest nieprawomocny, a jemu przysługuje od tego wyroku sprzeciw, do którego termin mu jeszcze nie upłynął. Nadto zarzucił, że roszczenie stwierdzone w wyroku nie nadaje się do egzekucji, bo nie ma żadnego majątku, a wcześniejsze egzekucje przeciw niemu zostały umorzone jako bezskuteczne. Powód w odpowiedzi na zażalenie wniósł o jego odrzucenie, gdyż zostało wniesione przedwcześnie - termin do jego wniesienia biegnie bowiem od dnia doręczenia pozwanemu jako dłużnikowi zawiadomienia o wszczęciu egzekucji, a egzekucja nie została jeszcze wszczęta.</w:t>
      </w:r>
    </w:p>
    <w:p w14:paraId="24E5F4D4" w14:textId="77777777" w:rsidR="00013011" w:rsidRPr="00340D94" w:rsidRDefault="00013011" w:rsidP="00F62A80">
      <w:pPr>
        <w:spacing w:after="0"/>
        <w:ind w:left="0" w:right="0" w:firstLine="0"/>
        <w:contextualSpacing/>
        <w:outlineLvl w:val="0"/>
        <w:rPr>
          <w:rFonts w:eastAsia="Calibri" w:cs="Times New Roman"/>
          <w:kern w:val="0"/>
          <w14:ligatures w14:val="none"/>
        </w:rPr>
      </w:pPr>
      <w:r w:rsidRPr="00340D94">
        <w:rPr>
          <w:rFonts w:eastAsia="Calibri" w:cs="Times New Roman"/>
          <w:kern w:val="0"/>
          <w14:ligatures w14:val="none"/>
        </w:rPr>
        <w:lastRenderedPageBreak/>
        <w:t>Proszę zaprojektować orzeczenie sądu wraz z uzasadnieniem, z uwzględnieniem sądu właściwego rzędu i jego skład.</w:t>
      </w:r>
    </w:p>
    <w:p w14:paraId="71DC33F7" w14:textId="77777777" w:rsidR="00013011" w:rsidRPr="00340D94" w:rsidRDefault="00013011" w:rsidP="00F62A80">
      <w:pPr>
        <w:rPr>
          <w:rFonts w:cs="Times New Roman"/>
        </w:rPr>
      </w:pPr>
    </w:p>
    <w:sectPr w:rsidR="00013011" w:rsidRPr="00340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2A5"/>
    <w:multiLevelType w:val="hybridMultilevel"/>
    <w:tmpl w:val="28E2E2A4"/>
    <w:lvl w:ilvl="0" w:tplc="120CAB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D4AE0"/>
    <w:multiLevelType w:val="hybridMultilevel"/>
    <w:tmpl w:val="DF5E9E72"/>
    <w:lvl w:ilvl="0" w:tplc="6212E1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C7812"/>
    <w:multiLevelType w:val="hybridMultilevel"/>
    <w:tmpl w:val="9F7CD01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C86AB0"/>
    <w:multiLevelType w:val="hybridMultilevel"/>
    <w:tmpl w:val="092AF91A"/>
    <w:lvl w:ilvl="0" w:tplc="6C08E5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AC1C90"/>
    <w:multiLevelType w:val="hybridMultilevel"/>
    <w:tmpl w:val="CEF07B12"/>
    <w:lvl w:ilvl="0" w:tplc="F0209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9231A"/>
    <w:multiLevelType w:val="hybridMultilevel"/>
    <w:tmpl w:val="455A1FB2"/>
    <w:lvl w:ilvl="0" w:tplc="7B1A04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775B29"/>
    <w:multiLevelType w:val="hybridMultilevel"/>
    <w:tmpl w:val="8AC2A1CA"/>
    <w:lvl w:ilvl="0" w:tplc="0D0E47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A04C0D"/>
    <w:multiLevelType w:val="hybridMultilevel"/>
    <w:tmpl w:val="9A70647C"/>
    <w:lvl w:ilvl="0" w:tplc="32E00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256EAD"/>
    <w:multiLevelType w:val="hybridMultilevel"/>
    <w:tmpl w:val="16CE6040"/>
    <w:lvl w:ilvl="0" w:tplc="BCA48F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9C3E32"/>
    <w:multiLevelType w:val="hybridMultilevel"/>
    <w:tmpl w:val="26D4E15A"/>
    <w:lvl w:ilvl="0" w:tplc="BA26EF1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206DCC"/>
    <w:multiLevelType w:val="hybridMultilevel"/>
    <w:tmpl w:val="A0D0FCC2"/>
    <w:lvl w:ilvl="0" w:tplc="8CE0F2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5917DE"/>
    <w:multiLevelType w:val="hybridMultilevel"/>
    <w:tmpl w:val="0F6A948E"/>
    <w:lvl w:ilvl="0" w:tplc="350A14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E6E10"/>
    <w:multiLevelType w:val="hybridMultilevel"/>
    <w:tmpl w:val="91A255EC"/>
    <w:lvl w:ilvl="0" w:tplc="E81E87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8EF1071"/>
    <w:multiLevelType w:val="hybridMultilevel"/>
    <w:tmpl w:val="551A2254"/>
    <w:lvl w:ilvl="0" w:tplc="70EA3EBE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753429"/>
    <w:multiLevelType w:val="hybridMultilevel"/>
    <w:tmpl w:val="4E9C2110"/>
    <w:lvl w:ilvl="0" w:tplc="9F560F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E95E42"/>
    <w:multiLevelType w:val="hybridMultilevel"/>
    <w:tmpl w:val="D4FC4044"/>
    <w:lvl w:ilvl="0" w:tplc="26DAE1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034B75"/>
    <w:multiLevelType w:val="hybridMultilevel"/>
    <w:tmpl w:val="2B8AA21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B351B3"/>
    <w:multiLevelType w:val="hybridMultilevel"/>
    <w:tmpl w:val="2326BB8E"/>
    <w:lvl w:ilvl="0" w:tplc="46409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9F406A"/>
    <w:multiLevelType w:val="hybridMultilevel"/>
    <w:tmpl w:val="1732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7"/>
  </w:num>
  <w:num w:numId="2" w16cid:durableId="244455794">
    <w:abstractNumId w:val="15"/>
  </w:num>
  <w:num w:numId="3" w16cid:durableId="1722825891">
    <w:abstractNumId w:val="15"/>
  </w:num>
  <w:num w:numId="4" w16cid:durableId="939677841">
    <w:abstractNumId w:val="7"/>
  </w:num>
  <w:num w:numId="5" w16cid:durableId="828248301">
    <w:abstractNumId w:val="10"/>
  </w:num>
  <w:num w:numId="6" w16cid:durableId="2013098946">
    <w:abstractNumId w:val="22"/>
  </w:num>
  <w:num w:numId="7" w16cid:durableId="1639457456">
    <w:abstractNumId w:val="8"/>
  </w:num>
  <w:num w:numId="8" w16cid:durableId="1957248025">
    <w:abstractNumId w:val="0"/>
  </w:num>
  <w:num w:numId="9" w16cid:durableId="1143742304">
    <w:abstractNumId w:val="20"/>
  </w:num>
  <w:num w:numId="10" w16cid:durableId="1756239878">
    <w:abstractNumId w:val="4"/>
  </w:num>
  <w:num w:numId="11" w16cid:durableId="1152065076">
    <w:abstractNumId w:val="13"/>
  </w:num>
  <w:num w:numId="12" w16cid:durableId="373963013">
    <w:abstractNumId w:val="19"/>
  </w:num>
  <w:num w:numId="13" w16cid:durableId="923145378">
    <w:abstractNumId w:val="9"/>
  </w:num>
  <w:num w:numId="14" w16cid:durableId="1984193269">
    <w:abstractNumId w:val="2"/>
  </w:num>
  <w:num w:numId="15" w16cid:durableId="41562428">
    <w:abstractNumId w:val="14"/>
  </w:num>
  <w:num w:numId="16" w16cid:durableId="349838859">
    <w:abstractNumId w:val="12"/>
  </w:num>
  <w:num w:numId="17" w16cid:durableId="902913866">
    <w:abstractNumId w:val="16"/>
  </w:num>
  <w:num w:numId="18" w16cid:durableId="1307274597">
    <w:abstractNumId w:val="21"/>
  </w:num>
  <w:num w:numId="19" w16cid:durableId="600534373">
    <w:abstractNumId w:val="3"/>
  </w:num>
  <w:num w:numId="20" w16cid:durableId="1098601815">
    <w:abstractNumId w:val="5"/>
  </w:num>
  <w:num w:numId="21" w16cid:durableId="295642256">
    <w:abstractNumId w:val="11"/>
  </w:num>
  <w:num w:numId="22" w16cid:durableId="1317535908">
    <w:abstractNumId w:val="6"/>
  </w:num>
  <w:num w:numId="23" w16cid:durableId="1652127948">
    <w:abstractNumId w:val="18"/>
  </w:num>
  <w:num w:numId="24" w16cid:durableId="475150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11"/>
    <w:rsid w:val="00013011"/>
    <w:rsid w:val="0017340A"/>
    <w:rsid w:val="001F578F"/>
    <w:rsid w:val="00340D94"/>
    <w:rsid w:val="003C2E72"/>
    <w:rsid w:val="003C5056"/>
    <w:rsid w:val="00404812"/>
    <w:rsid w:val="004313D8"/>
    <w:rsid w:val="004E23CD"/>
    <w:rsid w:val="00886BAA"/>
    <w:rsid w:val="009A74E1"/>
    <w:rsid w:val="00B34EC7"/>
    <w:rsid w:val="00BB48D1"/>
    <w:rsid w:val="00C32AF7"/>
    <w:rsid w:val="00C66091"/>
    <w:rsid w:val="00D439EA"/>
    <w:rsid w:val="00DF22D4"/>
    <w:rsid w:val="00F6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9F758"/>
  <w15:chartTrackingRefBased/>
  <w15:docId w15:val="{B61DEAC0-32FB-4911-AB6D-C1962B23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3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3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30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30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30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30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30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30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30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013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3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301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301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301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301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30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30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3011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30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3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3011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30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30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30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30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30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3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30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30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858</Words>
  <Characters>5152</Characters>
  <Application>Microsoft Office Word</Application>
  <DocSecurity>0</DocSecurity>
  <Lines>42</Lines>
  <Paragraphs>11</Paragraphs>
  <ScaleCrop>false</ScaleCrop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3</cp:revision>
  <dcterms:created xsi:type="dcterms:W3CDTF">2026-07-22T10:19:00Z</dcterms:created>
  <dcterms:modified xsi:type="dcterms:W3CDTF">2026-07-29T08:41:00Z</dcterms:modified>
</cp:coreProperties>
</file>