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C9C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1A3EB9F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8930BE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C3D62C7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 xml:space="preserve">KLUCZ ROZWIĄZAŃ </w:t>
      </w:r>
    </w:p>
    <w:p w14:paraId="0A036AC7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>I PROPOZYCJE ODPOWIEDZI</w:t>
      </w:r>
    </w:p>
    <w:p w14:paraId="4023F8C9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28"/>
        </w:rPr>
      </w:pPr>
      <w:r w:rsidRPr="008C1D94">
        <w:rPr>
          <w:rFonts w:ascii="Arial" w:hAnsi="Arial" w:cs="Arial"/>
          <w:b/>
          <w:spacing w:val="20"/>
          <w:sz w:val="28"/>
        </w:rPr>
        <w:t xml:space="preserve">do egzaminu konkursowego na asystenta sędziego </w:t>
      </w:r>
    </w:p>
    <w:p w14:paraId="3F0BFC1B" w14:textId="77777777" w:rsidR="00F539BE" w:rsidRPr="008C1D94" w:rsidRDefault="00BF7514" w:rsidP="00F539BE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t>11 kwietnia</w:t>
      </w:r>
      <w:r w:rsidR="00F539BE" w:rsidRPr="008C1D94">
        <w:rPr>
          <w:rFonts w:ascii="Arial" w:hAnsi="Arial" w:cs="Arial"/>
          <w:b/>
          <w:spacing w:val="20"/>
          <w:sz w:val="28"/>
        </w:rPr>
        <w:t xml:space="preserve"> 2025 r.</w:t>
      </w:r>
    </w:p>
    <w:p w14:paraId="49D35D6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4CB3A1E5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256A7BC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16D8D1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2CABB9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68B830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12E37A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518C2A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1F1409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F4891B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E0BDD2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830AED5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EB0171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472B4E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F93032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5ED6F2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0CCE4AF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F6DE10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55F4A2C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3AD587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C27CF4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E48C9C4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971235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466ABB5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1D6216F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ECD81A1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CF2E350" w14:textId="77777777" w:rsidR="004E16C4" w:rsidRPr="00056F37" w:rsidRDefault="00056F37" w:rsidP="00056F37">
      <w:pPr>
        <w:jc w:val="center"/>
        <w:rPr>
          <w:rFonts w:ascii="Arial" w:hAnsi="Arial" w:cs="Arial"/>
          <w:b/>
          <w:spacing w:val="20"/>
        </w:rPr>
      </w:pPr>
      <w:r w:rsidRPr="00056F37">
        <w:rPr>
          <w:rFonts w:ascii="Arial" w:hAnsi="Arial" w:cs="Arial"/>
          <w:b/>
          <w:spacing w:val="20"/>
        </w:rPr>
        <w:lastRenderedPageBreak/>
        <w:t>KLUCZ ROZWIĄZAŃ TESTU</w:t>
      </w:r>
    </w:p>
    <w:p w14:paraId="6D076E91" w14:textId="77777777" w:rsidR="00056F37" w:rsidRDefault="00056F37" w:rsidP="00056F37">
      <w:pPr>
        <w:rPr>
          <w:rFonts w:ascii="Arial" w:hAnsi="Arial" w:cs="Arial"/>
        </w:rPr>
      </w:pPr>
    </w:p>
    <w:p w14:paraId="5129B034" w14:textId="77777777" w:rsidR="009F382A" w:rsidRDefault="009F382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9F382A" w:rsidSect="00216E69">
          <w:headerReference w:type="default" r:id="rId7"/>
          <w:footerReference w:type="default" r:id="rId8"/>
          <w:pgSz w:w="11906" w:h="16838"/>
          <w:pgMar w:top="1440" w:right="1440" w:bottom="1440" w:left="1797" w:header="709" w:footer="709" w:gutter="0"/>
          <w:cols w:space="708"/>
          <w:docGrid w:linePitch="360"/>
        </w:sectPr>
      </w:pPr>
    </w:p>
    <w:p w14:paraId="47599AB9" w14:textId="77777777" w:rsidR="00056F37" w:rsidRDefault="00FB1489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28 k.c.)</w:t>
      </w:r>
    </w:p>
    <w:p w14:paraId="53919142" w14:textId="77777777" w:rsidR="00FB1489" w:rsidRDefault="00FB1489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89 k.c.)</w:t>
      </w:r>
    </w:p>
    <w:p w14:paraId="127E79F4" w14:textId="77777777" w:rsidR="00FB1489" w:rsidRDefault="00FB1489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174 § 1 k.c.)</w:t>
      </w:r>
    </w:p>
    <w:p w14:paraId="19194B7A" w14:textId="77777777" w:rsidR="00FB1489" w:rsidRDefault="00FB1489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2D0E4E">
        <w:rPr>
          <w:rFonts w:ascii="Arial" w:hAnsi="Arial" w:cs="Arial"/>
        </w:rPr>
        <w:t>(art. 198 k.c.)</w:t>
      </w:r>
    </w:p>
    <w:p w14:paraId="7A7145E2" w14:textId="77777777" w:rsidR="002D0E4E" w:rsidRDefault="002D0E4E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363 § 1 k.c.)</w:t>
      </w:r>
    </w:p>
    <w:p w14:paraId="6692E2A4" w14:textId="77777777" w:rsidR="002D0E4E" w:rsidRDefault="002D0E4E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931 § 1 zd. 2 k.c.)</w:t>
      </w:r>
    </w:p>
    <w:p w14:paraId="2C0D8B04" w14:textId="77777777" w:rsidR="002D0E4E" w:rsidRDefault="00D445D6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949 § 1 k.c.)</w:t>
      </w:r>
    </w:p>
    <w:p w14:paraId="1E9ADF56" w14:textId="77777777" w:rsidR="00D445D6" w:rsidRDefault="00D445D6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92 k.r.o.)</w:t>
      </w:r>
    </w:p>
    <w:p w14:paraId="3676B9A3" w14:textId="77777777" w:rsidR="00D445D6" w:rsidRDefault="00D445D6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135 § 1 k.r.o)</w:t>
      </w:r>
    </w:p>
    <w:p w14:paraId="03BC826D" w14:textId="77777777" w:rsidR="00D445D6" w:rsidRDefault="00D445D6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9 § 1 k.p.c.)</w:t>
      </w:r>
    </w:p>
    <w:p w14:paraId="71E44BC3" w14:textId="77777777" w:rsidR="00D445D6" w:rsidRDefault="000E6265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104 k.p.c.)</w:t>
      </w:r>
    </w:p>
    <w:p w14:paraId="5E3B7292" w14:textId="77777777" w:rsidR="000E6265" w:rsidRDefault="005D0DB0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117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§ 2 k.p.c.)</w:t>
      </w:r>
    </w:p>
    <w:p w14:paraId="29A73943" w14:textId="77777777" w:rsidR="005D0DB0" w:rsidRDefault="005D0DB0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117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§ 2 k.p.c.)</w:t>
      </w:r>
    </w:p>
    <w:p w14:paraId="0F4C7A3D" w14:textId="77777777" w:rsidR="005D0DB0" w:rsidRDefault="005D0DB0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183</w:t>
      </w:r>
      <w:r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 xml:space="preserve"> § 1 k.p.c.)</w:t>
      </w:r>
    </w:p>
    <w:p w14:paraId="03FA20CC" w14:textId="77777777" w:rsidR="005D0DB0" w:rsidRDefault="005D0DB0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199 § 1 pkt 2 k.p.c.)</w:t>
      </w:r>
    </w:p>
    <w:p w14:paraId="2DC8F326" w14:textId="77777777" w:rsidR="005D0DB0" w:rsidRDefault="002A78B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394</w:t>
      </w:r>
      <w:r>
        <w:rPr>
          <w:rFonts w:ascii="Arial" w:hAnsi="Arial" w:cs="Arial"/>
          <w:vertAlign w:val="superscript"/>
        </w:rPr>
        <w:t xml:space="preserve">1a </w:t>
      </w:r>
      <w:r>
        <w:rPr>
          <w:rFonts w:ascii="Arial" w:hAnsi="Arial" w:cs="Arial"/>
        </w:rPr>
        <w:t>§ 1 pkt 12 k.p.c.)</w:t>
      </w:r>
    </w:p>
    <w:p w14:paraId="1124C5C2" w14:textId="77777777" w:rsidR="002A78BA" w:rsidRDefault="002A78B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493 § 1 k.p.c.)</w:t>
      </w:r>
    </w:p>
    <w:p w14:paraId="4AC36BDB" w14:textId="77777777" w:rsidR="002A78BA" w:rsidRDefault="002A78B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512 § 1 k.p.c.)</w:t>
      </w:r>
    </w:p>
    <w:p w14:paraId="460D9C3B" w14:textId="77777777" w:rsidR="009F382A" w:rsidRDefault="00FD5593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7 § 2 k.k.)</w:t>
      </w:r>
    </w:p>
    <w:p w14:paraId="132F5DF3" w14:textId="77777777" w:rsidR="00FD5593" w:rsidRDefault="00F7482F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11 § 2 k.k.)</w:t>
      </w:r>
    </w:p>
    <w:p w14:paraId="1B33F6F1" w14:textId="77777777" w:rsidR="00F7482F" w:rsidRDefault="002B268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F7482F">
        <w:rPr>
          <w:rFonts w:ascii="Arial" w:hAnsi="Arial" w:cs="Arial"/>
        </w:rPr>
        <w:t>(art. 39 pkt 8 k.k.)</w:t>
      </w:r>
    </w:p>
    <w:p w14:paraId="33952FDA" w14:textId="77777777" w:rsidR="002B268A" w:rsidRDefault="002B268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69 § 1 k.k.)</w:t>
      </w:r>
    </w:p>
    <w:p w14:paraId="7D598FCA" w14:textId="77777777" w:rsidR="002B268A" w:rsidRDefault="002B268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46 § 1 k.k.)</w:t>
      </w:r>
    </w:p>
    <w:p w14:paraId="6FEE312A" w14:textId="77777777" w:rsidR="002B268A" w:rsidRDefault="00584354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66 § 1 k.k.)</w:t>
      </w:r>
    </w:p>
    <w:p w14:paraId="1FE110F8" w14:textId="77777777" w:rsidR="00584354" w:rsidRDefault="006C6A0B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178a § 1 k.k.)</w:t>
      </w:r>
    </w:p>
    <w:p w14:paraId="1854C58D" w14:textId="77777777" w:rsidR="006C6A0B" w:rsidRDefault="004C6BE6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291 § 1 k.k.)</w:t>
      </w:r>
    </w:p>
    <w:p w14:paraId="072B6255" w14:textId="77777777" w:rsidR="004C6BE6" w:rsidRDefault="004C6BE6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280 § 1 k.k.)</w:t>
      </w:r>
    </w:p>
    <w:p w14:paraId="2667FB85" w14:textId="77777777" w:rsidR="004C6BE6" w:rsidRDefault="000A5960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 </w:t>
      </w:r>
      <w:r w:rsidR="004C6BE6">
        <w:rPr>
          <w:rFonts w:ascii="Arial" w:hAnsi="Arial" w:cs="Arial"/>
        </w:rPr>
        <w:t>(art. 5 § 2 k.p.k.)</w:t>
      </w:r>
    </w:p>
    <w:p w14:paraId="7E28F055" w14:textId="77777777" w:rsidR="000A5960" w:rsidRPr="000A5960" w:rsidRDefault="002B1FEB" w:rsidP="000A596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 </w:t>
      </w:r>
      <w:r w:rsidR="000A5960">
        <w:rPr>
          <w:rFonts w:ascii="Arial" w:hAnsi="Arial" w:cs="Arial"/>
        </w:rPr>
        <w:t>(art. 17 § 1 pkt 5 k.p.k.)</w:t>
      </w:r>
    </w:p>
    <w:p w14:paraId="0398F6FA" w14:textId="77777777" w:rsidR="004C6BE6" w:rsidRDefault="00AA511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25 § 1 pkt 1 k.p.k.)</w:t>
      </w:r>
    </w:p>
    <w:p w14:paraId="1E477F4F" w14:textId="77777777" w:rsidR="004C6BE6" w:rsidRDefault="00AA511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40 § 1 pkt 1 k.p.k.)</w:t>
      </w:r>
    </w:p>
    <w:p w14:paraId="37EBACCD" w14:textId="77777777" w:rsidR="004C6BE6" w:rsidRDefault="002A7B0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79 § 1 pkt 1 k.p.k.)</w:t>
      </w:r>
    </w:p>
    <w:p w14:paraId="675109AA" w14:textId="77777777" w:rsidR="004C6BE6" w:rsidRDefault="00017417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 (art. 167 k.p.k.)</w:t>
      </w:r>
    </w:p>
    <w:p w14:paraId="2AECACC1" w14:textId="77777777" w:rsidR="004C6BE6" w:rsidRDefault="0057384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(art. 250 § 1 k.p.k.)</w:t>
      </w:r>
    </w:p>
    <w:p w14:paraId="54AC3477" w14:textId="77777777" w:rsidR="004C6BE6" w:rsidRDefault="009378B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 (art. 385 § 1 k.p.k.)</w:t>
      </w:r>
    </w:p>
    <w:p w14:paraId="6D659697" w14:textId="77777777" w:rsidR="004C6BE6" w:rsidRPr="004C6BE6" w:rsidRDefault="009378B2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4C6BE6" w:rsidRPr="004C6BE6" w:rsidSect="004640EA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r>
        <w:rPr>
          <w:rFonts w:ascii="Arial" w:hAnsi="Arial" w:cs="Arial"/>
        </w:rPr>
        <w:t>C (art. 445 § 1 k.p.k.)</w:t>
      </w:r>
    </w:p>
    <w:p w14:paraId="6D4F0521" w14:textId="77777777" w:rsidR="009F382A" w:rsidRDefault="009F382A" w:rsidP="009F382A">
      <w:pPr>
        <w:rPr>
          <w:rFonts w:ascii="Arial" w:hAnsi="Arial" w:cs="Arial"/>
        </w:rPr>
      </w:pPr>
    </w:p>
    <w:p w14:paraId="0B84C0F2" w14:textId="77777777" w:rsidR="009F382A" w:rsidRDefault="009F382A" w:rsidP="009F3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PROPOZYCJE ROZWIĄZAŃ PRACY PISEMNEJ</w:t>
      </w:r>
    </w:p>
    <w:p w14:paraId="7EEAC46C" w14:textId="77777777" w:rsidR="009F382A" w:rsidRDefault="009F382A" w:rsidP="009F382A">
      <w:pPr>
        <w:rPr>
          <w:rFonts w:ascii="Arial" w:hAnsi="Arial" w:cs="Arial"/>
          <w:b/>
        </w:rPr>
      </w:pPr>
    </w:p>
    <w:p w14:paraId="0F7E7280" w14:textId="77777777" w:rsidR="009F382A" w:rsidRP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t>Praca pisemna z prawa cywilnego.</w:t>
      </w:r>
    </w:p>
    <w:p w14:paraId="00FB575E" w14:textId="77777777" w:rsidR="00F12D39" w:rsidRPr="00F12D39" w:rsidRDefault="00F12D39" w:rsidP="00F12D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Pr="00F12D39">
        <w:rPr>
          <w:rFonts w:ascii="Arial" w:hAnsi="Arial" w:cs="Arial"/>
          <w:b/>
        </w:rPr>
        <w:t>Czy w niniejszej sprawie zachowana została właściwość miejscowa sądu? Odpowiedź krótko uzasadnij.</w:t>
      </w:r>
    </w:p>
    <w:p w14:paraId="455373D6" w14:textId="77777777" w:rsidR="009F382A" w:rsidRDefault="00D56284" w:rsidP="00F12D39">
      <w:pPr>
        <w:rPr>
          <w:rFonts w:ascii="Arial" w:hAnsi="Arial" w:cs="Arial"/>
        </w:rPr>
      </w:pPr>
      <w:r w:rsidRPr="00F12D39">
        <w:rPr>
          <w:rFonts w:ascii="Arial" w:hAnsi="Arial" w:cs="Arial"/>
        </w:rPr>
        <w:t>Nie</w:t>
      </w:r>
      <w:r w:rsidR="00311210">
        <w:rPr>
          <w:rFonts w:ascii="Arial" w:hAnsi="Arial" w:cs="Arial"/>
        </w:rPr>
        <w:t xml:space="preserve"> zachowano właściwości miejscowej</w:t>
      </w:r>
      <w:r w:rsidRPr="00F12D39">
        <w:rPr>
          <w:rFonts w:ascii="Arial" w:hAnsi="Arial" w:cs="Arial"/>
        </w:rPr>
        <w:t>. Sądem wyłącznie właściwym jest sąd ostatniego miejsca zwykłego pobytu spadkodawcy. Skoro spadkodawczyni prze</w:t>
      </w:r>
      <w:r w:rsidR="00D5047E">
        <w:rPr>
          <w:rFonts w:ascii="Arial" w:hAnsi="Arial" w:cs="Arial"/>
        </w:rPr>
        <w:t>d</w:t>
      </w:r>
      <w:r w:rsidRPr="00F12D39">
        <w:rPr>
          <w:rFonts w:ascii="Arial" w:hAnsi="Arial" w:cs="Arial"/>
        </w:rPr>
        <w:t xml:space="preserve"> śmiercią na stałe mieszkała w Wieluniu, to właściwym miejscowo jest Sąd Rejonowy w Wieluniu, zgodnie z art. 628 k.p.c.</w:t>
      </w:r>
    </w:p>
    <w:p w14:paraId="2D8FA58C" w14:textId="77777777" w:rsidR="00311210" w:rsidRPr="00311210" w:rsidRDefault="00311210" w:rsidP="00F12D39">
      <w:pPr>
        <w:rPr>
          <w:rFonts w:ascii="Arial" w:hAnsi="Arial" w:cs="Arial"/>
        </w:rPr>
      </w:pPr>
      <w:r>
        <w:rPr>
          <w:rFonts w:ascii="Arial" w:hAnsi="Arial" w:cs="Arial"/>
        </w:rPr>
        <w:t>Zgodnie z art. 200 § 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k.p.c. sąd jest zobowiązany brać pod rozwagę swoją właściwość z urzędu w każdym stanie sprawy, a w razie stwierdzenia niewłaściwości przekazać sprawę sądowi właściwemu – zgodnie z art. 200 </w:t>
      </w:r>
      <w:r>
        <w:rPr>
          <w:rFonts w:ascii="Arial" w:hAnsi="Arial" w:cs="Arial"/>
        </w:rPr>
        <w:br/>
        <w:t>§ 1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k.p.c.</w:t>
      </w:r>
    </w:p>
    <w:p w14:paraId="7ACEB1C4" w14:textId="77777777" w:rsidR="00D56284" w:rsidRDefault="00D56284" w:rsidP="00F12D39">
      <w:pPr>
        <w:rPr>
          <w:rFonts w:ascii="Arial" w:hAnsi="Arial" w:cs="Arial"/>
        </w:rPr>
      </w:pPr>
    </w:p>
    <w:p w14:paraId="66869819" w14:textId="77777777" w:rsidR="00F12D39" w:rsidRPr="00F12D39" w:rsidRDefault="00F12D39" w:rsidP="00F12D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Pr="00F12D39">
        <w:rPr>
          <w:rFonts w:ascii="Arial" w:hAnsi="Arial" w:cs="Arial"/>
          <w:b/>
        </w:rPr>
        <w:t>Jaki sąd jest ogólnie właściwy do czynności w postępowaniu spadkowym?</w:t>
      </w:r>
    </w:p>
    <w:p w14:paraId="5485E680" w14:textId="77777777" w:rsidR="00D56284" w:rsidRPr="00F12D39" w:rsidRDefault="00F12D39" w:rsidP="00F12D39">
      <w:pPr>
        <w:rPr>
          <w:rFonts w:ascii="Arial" w:hAnsi="Arial" w:cs="Arial"/>
        </w:rPr>
      </w:pPr>
      <w:r w:rsidRPr="00F12D39">
        <w:rPr>
          <w:rFonts w:ascii="Arial" w:hAnsi="Arial" w:cs="Arial"/>
        </w:rPr>
        <w:t>Zgodnie z art. 628 k.p.c. do czynności w postępowaniu spadkowym, które należą do zakresu działania sądów, wyłącznie właściwy jest sąd ostatniego miejsca zwykłego pobytu spadkodawcy, a jeżeli jego miejsca zwykłego pobytu w Polsce nie da się ustalić, sąd miejsca, w którym znajduje się majątek spadkowy lub jego część (sąd spadku). W braku powyższych podstaw sądem spadku jest sąd rejonowy dla m.st. Warszawy.</w:t>
      </w:r>
    </w:p>
    <w:p w14:paraId="2FE89A29" w14:textId="77777777" w:rsidR="00F12D39" w:rsidRPr="00F12D39" w:rsidRDefault="00F12D39" w:rsidP="00F12D39">
      <w:pPr>
        <w:pStyle w:val="Akapitzlist"/>
        <w:rPr>
          <w:rFonts w:ascii="Arial" w:hAnsi="Arial" w:cs="Arial"/>
        </w:rPr>
      </w:pPr>
    </w:p>
    <w:p w14:paraId="096EF2AF" w14:textId="77777777" w:rsidR="00FD3A47" w:rsidRDefault="00FD3A47" w:rsidP="00FD3A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Pr="00FD3A47">
        <w:rPr>
          <w:rFonts w:ascii="Arial" w:hAnsi="Arial" w:cs="Arial"/>
          <w:b/>
        </w:rPr>
        <w:t xml:space="preserve">Proszę sporządzić projekt orzeczenia wraz z uzasadnieniem </w:t>
      </w:r>
      <w:r>
        <w:rPr>
          <w:rFonts w:ascii="Arial" w:hAnsi="Arial" w:cs="Arial"/>
          <w:b/>
        </w:rPr>
        <w:br/>
      </w:r>
      <w:r w:rsidRPr="00FD3A47">
        <w:rPr>
          <w:rFonts w:ascii="Arial" w:hAnsi="Arial" w:cs="Arial"/>
          <w:b/>
        </w:rPr>
        <w:t xml:space="preserve">i zarządzeniami wykonawczymi, jakie powinno zostać wydane w niniejszej sprawie. </w:t>
      </w:r>
    </w:p>
    <w:p w14:paraId="0060EA9C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Sygn. akt I Ns </w:t>
      </w:r>
      <w:r>
        <w:rPr>
          <w:rFonts w:ascii="Arial" w:hAnsi="Arial" w:cs="Arial"/>
        </w:rPr>
        <w:t>100/25</w:t>
      </w:r>
    </w:p>
    <w:p w14:paraId="21151DA5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 </w:t>
      </w:r>
    </w:p>
    <w:p w14:paraId="421EF48C" w14:textId="77777777" w:rsidR="00FD3A47" w:rsidRPr="00FD3A47" w:rsidRDefault="00FD3A47" w:rsidP="00FD3A47">
      <w:pPr>
        <w:spacing w:line="336" w:lineRule="auto"/>
        <w:jc w:val="center"/>
        <w:rPr>
          <w:rFonts w:ascii="Arial" w:hAnsi="Arial" w:cs="Arial"/>
          <w:b/>
          <w:spacing w:val="20"/>
          <w:sz w:val="32"/>
        </w:rPr>
      </w:pPr>
      <w:r w:rsidRPr="00FD3A47">
        <w:rPr>
          <w:rFonts w:ascii="Arial" w:hAnsi="Arial" w:cs="Arial"/>
          <w:b/>
          <w:spacing w:val="20"/>
          <w:sz w:val="32"/>
        </w:rPr>
        <w:t>POSTANOWIENIE</w:t>
      </w:r>
    </w:p>
    <w:p w14:paraId="38986A2A" w14:textId="77777777" w:rsidR="00FD3A47" w:rsidRPr="00FD3A47" w:rsidRDefault="00FD3A47" w:rsidP="00FD3A47">
      <w:pPr>
        <w:spacing w:line="336" w:lineRule="auto"/>
        <w:jc w:val="right"/>
        <w:rPr>
          <w:rFonts w:ascii="Arial" w:hAnsi="Arial" w:cs="Arial"/>
        </w:rPr>
      </w:pPr>
    </w:p>
    <w:p w14:paraId="4A2D95CA" w14:textId="77777777" w:rsidR="00FD3A47" w:rsidRPr="00FD3A47" w:rsidRDefault="00FD3A47" w:rsidP="00FD3A47">
      <w:pPr>
        <w:spacing w:line="336" w:lineRule="auto"/>
        <w:jc w:val="right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Dnia </w:t>
      </w:r>
      <w:r>
        <w:rPr>
          <w:rFonts w:ascii="Arial" w:hAnsi="Arial" w:cs="Arial"/>
        </w:rPr>
        <w:t>4 marca 2025</w:t>
      </w:r>
      <w:r w:rsidRPr="00FD3A47">
        <w:rPr>
          <w:rFonts w:ascii="Arial" w:hAnsi="Arial" w:cs="Arial"/>
        </w:rPr>
        <w:t xml:space="preserve"> roku,</w:t>
      </w:r>
    </w:p>
    <w:p w14:paraId="51D839A1" w14:textId="77777777" w:rsidR="00FD3A47" w:rsidRPr="00FD3A47" w:rsidRDefault="00FD3A47" w:rsidP="00FD3A47">
      <w:pPr>
        <w:spacing w:line="420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>Sąd Rejonowy w Łasku, w I Wydziale Cywilnym, w składzie: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6426"/>
      </w:tblGrid>
      <w:tr w:rsidR="00FD3A47" w:rsidRPr="00FD3A47" w14:paraId="5A5272F2" w14:textId="77777777" w:rsidTr="000B56E6">
        <w:tc>
          <w:tcPr>
            <w:tcW w:w="2263" w:type="dxa"/>
            <w:hideMark/>
          </w:tcPr>
          <w:p w14:paraId="6F27A7C2" w14:textId="77777777" w:rsidR="00FD3A47" w:rsidRPr="00FD3A47" w:rsidRDefault="00FD3A47" w:rsidP="000B56E6">
            <w:pPr>
              <w:spacing w:line="336" w:lineRule="auto"/>
              <w:jc w:val="right"/>
              <w:rPr>
                <w:rFonts w:ascii="Arial" w:hAnsi="Arial" w:cs="Arial"/>
              </w:rPr>
            </w:pPr>
            <w:r w:rsidRPr="00FD3A47">
              <w:rPr>
                <w:rFonts w:ascii="Arial" w:hAnsi="Arial" w:cs="Arial"/>
              </w:rPr>
              <w:t xml:space="preserve">Przewodniczący   </w:t>
            </w:r>
          </w:p>
        </w:tc>
        <w:tc>
          <w:tcPr>
            <w:tcW w:w="6799" w:type="dxa"/>
            <w:hideMark/>
          </w:tcPr>
          <w:p w14:paraId="5F5BA83F" w14:textId="77777777" w:rsidR="00FD3A47" w:rsidRPr="00FD3A47" w:rsidRDefault="008D61D6" w:rsidP="000B56E6">
            <w:pPr>
              <w:spacing w:line="42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</w:t>
            </w:r>
            <w:r w:rsidR="00DD303B">
              <w:rPr>
                <w:rFonts w:ascii="Arial" w:hAnsi="Arial" w:cs="Arial"/>
              </w:rPr>
              <w:t>sędzia Bohdan Król</w:t>
            </w:r>
          </w:p>
        </w:tc>
      </w:tr>
    </w:tbl>
    <w:p w14:paraId="281083A2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po rozpoznaniu w dniu </w:t>
      </w:r>
      <w:r w:rsidR="00DD303B">
        <w:rPr>
          <w:rFonts w:ascii="Arial" w:hAnsi="Arial" w:cs="Arial"/>
        </w:rPr>
        <w:t>4 marca 2025</w:t>
      </w:r>
      <w:r w:rsidRPr="00FD3A47">
        <w:rPr>
          <w:rFonts w:ascii="Arial" w:hAnsi="Arial" w:cs="Arial"/>
        </w:rPr>
        <w:t xml:space="preserve"> roku w Łasku,</w:t>
      </w:r>
    </w:p>
    <w:p w14:paraId="1C96AFE7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>na posiedzeniu niejawnym,</w:t>
      </w:r>
    </w:p>
    <w:p w14:paraId="5BE6E06C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sprawy z wniosku </w:t>
      </w:r>
      <w:r w:rsidR="00DD303B">
        <w:rPr>
          <w:rFonts w:ascii="Arial" w:hAnsi="Arial" w:cs="Arial"/>
        </w:rPr>
        <w:t>Aurelii Fornal</w:t>
      </w:r>
      <w:r w:rsidRPr="00FD3A47">
        <w:rPr>
          <w:rFonts w:ascii="Arial" w:hAnsi="Arial" w:cs="Arial"/>
        </w:rPr>
        <w:t>,</w:t>
      </w:r>
    </w:p>
    <w:p w14:paraId="433C6F38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przy udziale </w:t>
      </w:r>
      <w:r w:rsidR="00DD303B">
        <w:rPr>
          <w:rFonts w:ascii="Arial" w:hAnsi="Arial" w:cs="Arial"/>
        </w:rPr>
        <w:t>Tadeusza Kowalskiego</w:t>
      </w:r>
      <w:r w:rsidRPr="00FD3A47">
        <w:rPr>
          <w:rFonts w:ascii="Arial" w:hAnsi="Arial" w:cs="Arial"/>
        </w:rPr>
        <w:t>,</w:t>
      </w:r>
    </w:p>
    <w:p w14:paraId="008384F9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o stwierdzenie nabycia spadku po </w:t>
      </w:r>
      <w:r w:rsidR="00DD303B">
        <w:rPr>
          <w:rFonts w:ascii="Arial" w:hAnsi="Arial" w:cs="Arial"/>
        </w:rPr>
        <w:t xml:space="preserve">Florentynie Kowalskiej oraz o otwarcie </w:t>
      </w:r>
      <w:r w:rsidR="00DD303B">
        <w:rPr>
          <w:rFonts w:ascii="Arial" w:hAnsi="Arial" w:cs="Arial"/>
        </w:rPr>
        <w:br/>
        <w:t>i ogłoszenie testamentu</w:t>
      </w:r>
      <w:r w:rsidRPr="00FD3A47">
        <w:rPr>
          <w:rFonts w:ascii="Arial" w:hAnsi="Arial" w:cs="Arial"/>
        </w:rPr>
        <w:t>,</w:t>
      </w:r>
    </w:p>
    <w:p w14:paraId="5090FED3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>z urzędu w przedmiocie właściwości;</w:t>
      </w:r>
    </w:p>
    <w:p w14:paraId="658CD199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6651C3EE" w14:textId="77777777" w:rsidR="00FD3A47" w:rsidRPr="00FD3A47" w:rsidRDefault="00FD3A47" w:rsidP="00FD3A47">
      <w:pPr>
        <w:spacing w:line="336" w:lineRule="auto"/>
        <w:jc w:val="center"/>
        <w:rPr>
          <w:rFonts w:ascii="Arial" w:hAnsi="Arial" w:cs="Arial"/>
          <w:b/>
          <w:spacing w:val="20"/>
        </w:rPr>
      </w:pPr>
      <w:r w:rsidRPr="00FD3A47">
        <w:rPr>
          <w:rFonts w:ascii="Arial" w:hAnsi="Arial" w:cs="Arial"/>
          <w:b/>
          <w:spacing w:val="20"/>
        </w:rPr>
        <w:t>postanawia:</w:t>
      </w:r>
    </w:p>
    <w:p w14:paraId="69D66A22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61B29109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stwierdzić swoją niewłaściwość i przekazać sprawę Sądowi Rejonowemu </w:t>
      </w:r>
      <w:r w:rsidR="00DD303B">
        <w:rPr>
          <w:rFonts w:ascii="Arial" w:hAnsi="Arial" w:cs="Arial"/>
        </w:rPr>
        <w:br/>
      </w:r>
      <w:r w:rsidRPr="00FD3A47">
        <w:rPr>
          <w:rFonts w:ascii="Arial" w:hAnsi="Arial" w:cs="Arial"/>
        </w:rPr>
        <w:t xml:space="preserve">w </w:t>
      </w:r>
      <w:r w:rsidR="00DD303B">
        <w:rPr>
          <w:rFonts w:ascii="Arial" w:hAnsi="Arial" w:cs="Arial"/>
        </w:rPr>
        <w:t>Wieluniu</w:t>
      </w:r>
      <w:r w:rsidR="00CC72BA">
        <w:rPr>
          <w:rFonts w:ascii="Arial" w:hAnsi="Arial" w:cs="Arial"/>
        </w:rPr>
        <w:t>,</w:t>
      </w:r>
      <w:r w:rsidRPr="00FD3A47">
        <w:rPr>
          <w:rFonts w:ascii="Arial" w:hAnsi="Arial" w:cs="Arial"/>
        </w:rPr>
        <w:t xml:space="preserve"> jako wyłącznie właściwemu </w:t>
      </w:r>
      <w:r w:rsidR="00A143A1">
        <w:rPr>
          <w:rFonts w:ascii="Arial" w:hAnsi="Arial" w:cs="Arial"/>
        </w:rPr>
        <w:t xml:space="preserve">miejscowo </w:t>
      </w:r>
      <w:r w:rsidRPr="00FD3A47">
        <w:rPr>
          <w:rFonts w:ascii="Arial" w:hAnsi="Arial" w:cs="Arial"/>
        </w:rPr>
        <w:t>– sądowi spadku.</w:t>
      </w:r>
    </w:p>
    <w:p w14:paraId="1A72FBAF" w14:textId="77777777" w:rsidR="008D61D6" w:rsidRPr="00FD3A47" w:rsidRDefault="008D61D6" w:rsidP="00FD3A47">
      <w:pPr>
        <w:spacing w:line="336" w:lineRule="auto"/>
        <w:rPr>
          <w:rFonts w:ascii="Arial" w:hAnsi="Arial" w:cs="Arial"/>
        </w:rPr>
      </w:pPr>
    </w:p>
    <w:p w14:paraId="482E3440" w14:textId="77777777" w:rsidR="00FD3A47" w:rsidRPr="00FD3A47" w:rsidRDefault="00DD303B" w:rsidP="00FD3A47">
      <w:pPr>
        <w:spacing w:line="336" w:lineRule="auto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t>UZASADNIENIE</w:t>
      </w:r>
    </w:p>
    <w:p w14:paraId="2F9766A0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5E48C6C3" w14:textId="77777777" w:rsidR="00687EDD" w:rsidRPr="00687EDD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lastRenderedPageBreak/>
        <w:tab/>
      </w:r>
      <w:r w:rsidR="00687EDD">
        <w:rPr>
          <w:rFonts w:ascii="Arial" w:hAnsi="Arial" w:cs="Arial"/>
        </w:rPr>
        <w:t>Na wstępie Sąd wskazuje, że niniejsze uzasadnienie zostało sporządzone z urzędu w trybie art. 357 § 2</w:t>
      </w:r>
      <w:r w:rsidR="00687EDD">
        <w:rPr>
          <w:rFonts w:ascii="Arial" w:hAnsi="Arial" w:cs="Arial"/>
          <w:vertAlign w:val="superscript"/>
        </w:rPr>
        <w:t>3</w:t>
      </w:r>
      <w:r w:rsidR="00687EDD">
        <w:rPr>
          <w:rFonts w:ascii="Arial" w:hAnsi="Arial" w:cs="Arial"/>
        </w:rPr>
        <w:t xml:space="preserve"> k.p.c. w zw. z art. 13 § 2 k.p.c.</w:t>
      </w:r>
    </w:p>
    <w:p w14:paraId="28FE2159" w14:textId="77777777" w:rsidR="00DD303B" w:rsidRDefault="00DD303B" w:rsidP="00687EDD">
      <w:pPr>
        <w:spacing w:line="33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Wnioskiem złożonym 28 lutego 2025 roku Aurelia Fornal wniosła </w:t>
      </w:r>
      <w:r>
        <w:rPr>
          <w:rFonts w:ascii="Arial" w:hAnsi="Arial" w:cs="Arial"/>
        </w:rPr>
        <w:br/>
        <w:t xml:space="preserve">o stwierdzenie nabycia spadku po Florentynie Kowalskiej. We wniosku wskazano, że spadkodawczyni miała ostanie miejsce zwykłego pobytu przed śmiercią </w:t>
      </w:r>
      <w:r>
        <w:rPr>
          <w:rFonts w:ascii="Arial" w:hAnsi="Arial" w:cs="Arial"/>
        </w:rPr>
        <w:br/>
        <w:t xml:space="preserve">w Wieluniu – to było jej ostatnie miejsce stałego zamieszkania. </w:t>
      </w:r>
    </w:p>
    <w:p w14:paraId="38522C7F" w14:textId="77777777" w:rsidR="00FD3A47" w:rsidRPr="00FD3A47" w:rsidRDefault="00FD3A47" w:rsidP="00DD303B">
      <w:pPr>
        <w:spacing w:line="336" w:lineRule="auto"/>
        <w:ind w:firstLine="708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Zgodnie z art. 628 k.p.c. do czynności w postępowaniu spadkowym, które należą do zakresu działania sądów, wyłącznie właściwy jest sąd ostatniego miejsca zwykłego pobytu spadkodawcy, a jeżeli jego miejsca zwykłego pobytu </w:t>
      </w:r>
      <w:r w:rsidR="00104DA0">
        <w:rPr>
          <w:rFonts w:ascii="Arial" w:hAnsi="Arial" w:cs="Arial"/>
        </w:rPr>
        <w:br/>
      </w:r>
      <w:r w:rsidRPr="00FD3A47">
        <w:rPr>
          <w:rFonts w:ascii="Arial" w:hAnsi="Arial" w:cs="Arial"/>
        </w:rPr>
        <w:t>w Polsce nie da się ustalić, sąd miejsca, w którym znajduje się majątek spadkowy lub jego część (sąd spadku). W braku powyższych podstaw sądem spadku jest sąd rejonowy dla m.st. Warszawy. Zgodnie z art. 25 k.c. miejscem zamieszkania osoby fizycznej jest miejscowość, w której osoba ta przebywa z zamiarem stałego pobytu.</w:t>
      </w:r>
    </w:p>
    <w:p w14:paraId="4381E3D2" w14:textId="77777777" w:rsidR="00104DA0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ab/>
        <w:t xml:space="preserve">Zmarła </w:t>
      </w:r>
      <w:r w:rsidR="00104DA0">
        <w:rPr>
          <w:rFonts w:ascii="Arial" w:hAnsi="Arial" w:cs="Arial"/>
        </w:rPr>
        <w:t>Florentyna Kowalska</w:t>
      </w:r>
      <w:r w:rsidRPr="00FD3A47">
        <w:rPr>
          <w:rFonts w:ascii="Arial" w:hAnsi="Arial" w:cs="Arial"/>
        </w:rPr>
        <w:t xml:space="preserve"> według twierdzenia wniosku miała ostatnie miejsce zwykłego pobytu w </w:t>
      </w:r>
      <w:r w:rsidR="00104DA0">
        <w:rPr>
          <w:rFonts w:ascii="Arial" w:hAnsi="Arial" w:cs="Arial"/>
        </w:rPr>
        <w:t>Wieluniu</w:t>
      </w:r>
      <w:r w:rsidRPr="00FD3A47">
        <w:rPr>
          <w:rFonts w:ascii="Arial" w:hAnsi="Arial" w:cs="Arial"/>
        </w:rPr>
        <w:t>.</w:t>
      </w:r>
    </w:p>
    <w:p w14:paraId="690DC767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ab/>
        <w:t xml:space="preserve">Wobec powyższego sądem spadku zgodnie z § 3 ust. 32 lit. </w:t>
      </w:r>
      <w:r w:rsidR="00104DA0">
        <w:rPr>
          <w:rFonts w:ascii="Arial" w:hAnsi="Arial" w:cs="Arial"/>
        </w:rPr>
        <w:br/>
        <w:t>c</w:t>
      </w:r>
      <w:r w:rsidRPr="00FD3A47">
        <w:rPr>
          <w:rFonts w:ascii="Arial" w:hAnsi="Arial" w:cs="Arial"/>
        </w:rPr>
        <w:t xml:space="preserve"> rozporządzenia Ministra Sprawiedliwości z dnia 28 grudnia 2018 r. w sprawie ustalenia siedzib i obszarów właściwości sądów apelacyjnych, sądów okręgowych i sądów rejonowych oraz zakresu rozpoznawanych przez nie spraw (Dz.U. z 2023 r. poz. 2462) jest Sąd Rejonowy w </w:t>
      </w:r>
      <w:r w:rsidR="001123B8">
        <w:rPr>
          <w:rFonts w:ascii="Arial" w:hAnsi="Arial" w:cs="Arial"/>
        </w:rPr>
        <w:t>Wieluniu</w:t>
      </w:r>
      <w:r w:rsidRPr="00FD3A47">
        <w:rPr>
          <w:rFonts w:ascii="Arial" w:hAnsi="Arial" w:cs="Arial"/>
        </w:rPr>
        <w:t xml:space="preserve">. </w:t>
      </w:r>
    </w:p>
    <w:p w14:paraId="50A7ABA2" w14:textId="77777777" w:rsidR="00FD3A47" w:rsidRPr="00FD3A47" w:rsidRDefault="00FD3A47" w:rsidP="00FD3A47">
      <w:pPr>
        <w:spacing w:line="336" w:lineRule="auto"/>
        <w:ind w:firstLine="708"/>
        <w:rPr>
          <w:rFonts w:ascii="Arial" w:hAnsi="Arial" w:cs="Arial"/>
        </w:rPr>
      </w:pPr>
      <w:r w:rsidRPr="00FD3A47">
        <w:rPr>
          <w:rFonts w:ascii="Arial" w:hAnsi="Arial" w:cs="Arial"/>
        </w:rPr>
        <w:t>Stąd na podstawie art. 200 § 1</w:t>
      </w:r>
      <w:r w:rsidRPr="00FD3A47">
        <w:rPr>
          <w:rFonts w:ascii="Arial" w:hAnsi="Arial" w:cs="Arial"/>
          <w:vertAlign w:val="superscript"/>
        </w:rPr>
        <w:t>1</w:t>
      </w:r>
      <w:r w:rsidRPr="00FD3A47">
        <w:rPr>
          <w:rFonts w:ascii="Arial" w:hAnsi="Arial" w:cs="Arial"/>
        </w:rPr>
        <w:t xml:space="preserve"> i 1</w:t>
      </w:r>
      <w:r w:rsidRPr="00FD3A47">
        <w:rPr>
          <w:rFonts w:ascii="Arial" w:hAnsi="Arial" w:cs="Arial"/>
          <w:vertAlign w:val="superscript"/>
        </w:rPr>
        <w:t xml:space="preserve">4 </w:t>
      </w:r>
      <w:r w:rsidRPr="00FD3A47">
        <w:rPr>
          <w:rFonts w:ascii="Arial" w:hAnsi="Arial" w:cs="Arial"/>
        </w:rPr>
        <w:t xml:space="preserve">k.p.c. w zw. z art. 13 § 2 k.p.c. oraz art. 628 k.p.c. Sąd orzekł jak w sentencji. </w:t>
      </w:r>
    </w:p>
    <w:p w14:paraId="4B70514C" w14:textId="77777777" w:rsidR="00FD3A47" w:rsidRPr="00FD3A47" w:rsidRDefault="00FD3A47" w:rsidP="00FD3A47">
      <w:pPr>
        <w:spacing w:line="336" w:lineRule="auto"/>
        <w:ind w:firstLine="708"/>
        <w:rPr>
          <w:rFonts w:ascii="Arial" w:hAnsi="Arial" w:cs="Arial"/>
        </w:rPr>
      </w:pPr>
    </w:p>
    <w:p w14:paraId="2EEBBC95" w14:textId="77777777" w:rsidR="00FD3A47" w:rsidRPr="00FD3A47" w:rsidRDefault="00FD3A47" w:rsidP="00FD3A47">
      <w:pPr>
        <w:spacing w:line="336" w:lineRule="auto"/>
        <w:rPr>
          <w:rFonts w:ascii="Arial" w:hAnsi="Arial" w:cs="Arial"/>
          <w:b/>
          <w:sz w:val="20"/>
          <w:szCs w:val="20"/>
        </w:rPr>
      </w:pPr>
      <w:r w:rsidRPr="00FD3A47">
        <w:rPr>
          <w:rFonts w:ascii="Arial" w:hAnsi="Arial" w:cs="Arial"/>
          <w:b/>
          <w:sz w:val="20"/>
          <w:szCs w:val="20"/>
        </w:rPr>
        <w:t>Zarządzenie:</w:t>
      </w:r>
    </w:p>
    <w:p w14:paraId="24AE7028" w14:textId="77777777" w:rsidR="00FD3A47" w:rsidRPr="001123B8" w:rsidRDefault="00FD3A47" w:rsidP="001123B8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>Odpis postanowienia doręczyć</w:t>
      </w:r>
      <w:r w:rsidR="001123B8">
        <w:rPr>
          <w:rFonts w:ascii="Arial" w:hAnsi="Arial" w:cs="Arial"/>
          <w:sz w:val="20"/>
          <w:szCs w:val="20"/>
        </w:rPr>
        <w:t xml:space="preserve"> wnioskodawczyni i uczestnikowi </w:t>
      </w:r>
      <w:r w:rsidRPr="001123B8">
        <w:rPr>
          <w:rFonts w:ascii="Arial" w:hAnsi="Arial" w:cs="Arial"/>
          <w:sz w:val="20"/>
          <w:szCs w:val="20"/>
        </w:rPr>
        <w:t xml:space="preserve">z pouczeniem o terminie </w:t>
      </w:r>
      <w:r w:rsidR="001123B8">
        <w:rPr>
          <w:rFonts w:ascii="Arial" w:hAnsi="Arial" w:cs="Arial"/>
          <w:sz w:val="20"/>
          <w:szCs w:val="20"/>
        </w:rPr>
        <w:br/>
      </w:r>
      <w:r w:rsidRPr="001123B8">
        <w:rPr>
          <w:rFonts w:ascii="Arial" w:hAnsi="Arial" w:cs="Arial"/>
          <w:sz w:val="20"/>
          <w:szCs w:val="20"/>
        </w:rPr>
        <w:t>i sposobie wniesienia zażalenia do Sądu Okręgowego w Sieradzu.</w:t>
      </w:r>
    </w:p>
    <w:p w14:paraId="531161B5" w14:textId="77777777" w:rsidR="00FD3A47" w:rsidRPr="00FD3A47" w:rsidRDefault="00FD3A47" w:rsidP="00FD3A47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Akta sprawy przedstawić referentowi po upływie 3 tygodni od wykonania punktu 1. zarządzenia, albo wcześniej z wpływem pisma. </w:t>
      </w:r>
    </w:p>
    <w:p w14:paraId="5CDE38EA" w14:textId="77777777" w:rsidR="00FD3A47" w:rsidRPr="00FD3A47" w:rsidRDefault="00FD3A47" w:rsidP="00FD3A47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>Po uprawomocnieniu się postanowienia:</w:t>
      </w:r>
    </w:p>
    <w:p w14:paraId="543A52E1" w14:textId="77777777" w:rsidR="00FD3A47" w:rsidRPr="006B5D3D" w:rsidRDefault="00FD3A47" w:rsidP="006B5D3D">
      <w:pPr>
        <w:pStyle w:val="Akapitzlist"/>
        <w:numPr>
          <w:ilvl w:val="0"/>
          <w:numId w:val="6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na podstawie § 133 ust. 1 pkt 2 </w:t>
      </w:r>
      <w:r w:rsidR="006B5D3D">
        <w:rPr>
          <w:rFonts w:ascii="Arial" w:hAnsi="Arial" w:cs="Arial"/>
          <w:sz w:val="20"/>
          <w:szCs w:val="20"/>
        </w:rPr>
        <w:t xml:space="preserve">zarządzenia Ministra Sprawiedliwości z dnia 19 czerwca 2019 r. </w:t>
      </w:r>
      <w:r w:rsidR="006B5D3D" w:rsidRPr="006B5D3D">
        <w:rPr>
          <w:rFonts w:ascii="Arial" w:hAnsi="Arial" w:cs="Arial"/>
          <w:sz w:val="20"/>
          <w:szCs w:val="20"/>
        </w:rPr>
        <w:t>z dnia 19 czerwca 2019 r.</w:t>
      </w:r>
      <w:r w:rsidR="006B5D3D">
        <w:rPr>
          <w:rFonts w:ascii="Arial" w:hAnsi="Arial" w:cs="Arial"/>
          <w:sz w:val="20"/>
          <w:szCs w:val="20"/>
        </w:rPr>
        <w:t xml:space="preserve"> </w:t>
      </w:r>
      <w:r w:rsidR="006B5D3D" w:rsidRPr="006B5D3D">
        <w:rPr>
          <w:rFonts w:ascii="Arial" w:hAnsi="Arial" w:cs="Arial"/>
          <w:sz w:val="20"/>
          <w:szCs w:val="20"/>
        </w:rPr>
        <w:t>w sprawie organizacji i zakresu działania sekretariatów sądowych oraz innych działów administracji sądowej</w:t>
      </w:r>
      <w:r w:rsidRPr="006B5D3D">
        <w:rPr>
          <w:rFonts w:ascii="Arial" w:hAnsi="Arial" w:cs="Arial"/>
          <w:sz w:val="20"/>
          <w:szCs w:val="20"/>
        </w:rPr>
        <w:t xml:space="preserve"> </w:t>
      </w:r>
      <w:r w:rsidR="006B5D3D">
        <w:rPr>
          <w:rFonts w:ascii="Arial" w:hAnsi="Arial" w:cs="Arial"/>
          <w:sz w:val="20"/>
          <w:szCs w:val="20"/>
        </w:rPr>
        <w:t>(</w:t>
      </w:r>
      <w:proofErr w:type="spellStart"/>
      <w:r w:rsidR="006B5D3D">
        <w:rPr>
          <w:rFonts w:ascii="Arial" w:hAnsi="Arial" w:cs="Arial"/>
          <w:sz w:val="20"/>
          <w:szCs w:val="20"/>
        </w:rPr>
        <w:t>t.j</w:t>
      </w:r>
      <w:proofErr w:type="spellEnd"/>
      <w:r w:rsidR="006B5D3D">
        <w:rPr>
          <w:rFonts w:ascii="Arial" w:hAnsi="Arial" w:cs="Arial"/>
          <w:sz w:val="20"/>
          <w:szCs w:val="20"/>
        </w:rPr>
        <w:t xml:space="preserve">. Dz.Urz.MS poz. 138) </w:t>
      </w:r>
      <w:r w:rsidRPr="006B5D3D">
        <w:rPr>
          <w:rFonts w:ascii="Arial" w:hAnsi="Arial" w:cs="Arial"/>
          <w:sz w:val="20"/>
          <w:szCs w:val="20"/>
        </w:rPr>
        <w:t>zakreślić numer porządkowy sprawy,</w:t>
      </w:r>
    </w:p>
    <w:p w14:paraId="5C8A74D4" w14:textId="77777777" w:rsidR="00FD3A47" w:rsidRPr="00FD3A47" w:rsidRDefault="00FD3A47" w:rsidP="00FD3A47">
      <w:pPr>
        <w:pStyle w:val="Akapitzlist"/>
        <w:numPr>
          <w:ilvl w:val="0"/>
          <w:numId w:val="6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akta sprawy przesłać Sądowi Rejonowemu w </w:t>
      </w:r>
      <w:r w:rsidR="00687EDD">
        <w:rPr>
          <w:rFonts w:ascii="Arial" w:hAnsi="Arial" w:cs="Arial"/>
          <w:sz w:val="20"/>
          <w:szCs w:val="20"/>
        </w:rPr>
        <w:t>Wieluniu</w:t>
      </w:r>
      <w:r w:rsidRPr="00FD3A47">
        <w:rPr>
          <w:rFonts w:ascii="Arial" w:hAnsi="Arial" w:cs="Arial"/>
          <w:sz w:val="20"/>
          <w:szCs w:val="20"/>
        </w:rPr>
        <w:t>, I Wydziałowi Cywilnemu.</w:t>
      </w:r>
    </w:p>
    <w:p w14:paraId="46B0C2DB" w14:textId="77777777" w:rsidR="00FD3A47" w:rsidRPr="00FD3A47" w:rsidRDefault="00C1369F" w:rsidP="00FD3A47">
      <w:pPr>
        <w:spacing w:line="33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marca 2025</w:t>
      </w:r>
      <w:r w:rsidR="00FD3A47" w:rsidRPr="00FD3A47">
        <w:rPr>
          <w:rFonts w:ascii="Arial" w:hAnsi="Arial" w:cs="Arial"/>
          <w:sz w:val="20"/>
          <w:szCs w:val="20"/>
        </w:rPr>
        <w:t xml:space="preserve"> r.</w:t>
      </w:r>
    </w:p>
    <w:p w14:paraId="06301D3C" w14:textId="77777777" w:rsidR="002C4602" w:rsidRDefault="002C4602" w:rsidP="009F382A">
      <w:pPr>
        <w:rPr>
          <w:rFonts w:ascii="Arial" w:hAnsi="Arial" w:cs="Arial"/>
        </w:rPr>
      </w:pPr>
    </w:p>
    <w:p w14:paraId="7EDE39D2" w14:textId="77777777" w:rsidR="002C4602" w:rsidRDefault="002C4602" w:rsidP="009F382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Uwaga na marginesie – przed przekazaniem sprawy sądowi właściwemu nie należy wzywać do uzupełnienia braku formalnego w postaci nieuiszczenia kosztów zamieszczenia w Rejestrze Spadkowym (art. </w:t>
      </w:r>
      <w:r w:rsidR="007511C7">
        <w:rPr>
          <w:rFonts w:ascii="Arial" w:hAnsi="Arial" w:cs="Arial"/>
        </w:rPr>
        <w:t xml:space="preserve">95i § 5 ustawy z dnia 14 lutego 1991 r. Prawo o notariacie – </w:t>
      </w:r>
      <w:proofErr w:type="spellStart"/>
      <w:r w:rsidR="007511C7">
        <w:rPr>
          <w:rFonts w:ascii="Arial" w:hAnsi="Arial" w:cs="Arial"/>
        </w:rPr>
        <w:t>t.j</w:t>
      </w:r>
      <w:proofErr w:type="spellEnd"/>
      <w:r w:rsidR="007511C7">
        <w:rPr>
          <w:rFonts w:ascii="Arial" w:hAnsi="Arial" w:cs="Arial"/>
        </w:rPr>
        <w:t>. Dz.U. z 2024 r. poz. 1001</w:t>
      </w:r>
      <w:r w:rsidR="005A505B">
        <w:rPr>
          <w:rFonts w:ascii="Arial" w:hAnsi="Arial" w:cs="Arial"/>
        </w:rPr>
        <w:t xml:space="preserve">) z uwagi na treść § 162 ust. </w:t>
      </w:r>
      <w:r w:rsidR="005A505B">
        <w:rPr>
          <w:rFonts w:ascii="Arial" w:hAnsi="Arial" w:cs="Arial"/>
        </w:rPr>
        <w:br/>
        <w:t>1 rozporządzenia Ministra Sprawiedliwości z dnia 18 czerwca 2019 r. Regulamin urzędowania sądów powszechnych (</w:t>
      </w:r>
      <w:proofErr w:type="spellStart"/>
      <w:r w:rsidR="005A505B">
        <w:rPr>
          <w:rFonts w:ascii="Arial" w:hAnsi="Arial" w:cs="Arial"/>
        </w:rPr>
        <w:t>t.j</w:t>
      </w:r>
      <w:proofErr w:type="spellEnd"/>
      <w:r w:rsidR="005A505B">
        <w:rPr>
          <w:rFonts w:ascii="Arial" w:hAnsi="Arial" w:cs="Arial"/>
        </w:rPr>
        <w:t xml:space="preserve">. Dz.U. z 2024 r. poz. 867). </w:t>
      </w:r>
    </w:p>
    <w:p w14:paraId="2E5D21E1" w14:textId="77777777" w:rsidR="007511C7" w:rsidRDefault="007511C7" w:rsidP="009F382A">
      <w:pPr>
        <w:rPr>
          <w:rFonts w:ascii="Arial" w:hAnsi="Arial" w:cs="Arial"/>
        </w:rPr>
      </w:pPr>
    </w:p>
    <w:p w14:paraId="45E9807E" w14:textId="77777777" w:rsid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t>Praca pisemna z prawa karnego.</w:t>
      </w:r>
    </w:p>
    <w:p w14:paraId="29F32DC1" w14:textId="77777777" w:rsidR="006A3DC9" w:rsidRDefault="006A3DC9" w:rsidP="009F382A">
      <w:pPr>
        <w:rPr>
          <w:rFonts w:ascii="Arial" w:hAnsi="Arial" w:cs="Arial"/>
        </w:rPr>
      </w:pPr>
      <w:r>
        <w:rPr>
          <w:rFonts w:ascii="Arial" w:hAnsi="Arial" w:cs="Arial"/>
        </w:rPr>
        <w:t>Czyn przepołowiony to typ czynu zabronionego, który inkorporuje dwie grupy czynów zabr</w:t>
      </w:r>
      <w:r w:rsidR="000C2778">
        <w:rPr>
          <w:rFonts w:ascii="Arial" w:hAnsi="Arial" w:cs="Arial"/>
        </w:rPr>
        <w:t xml:space="preserve">onionych, spełniających co do zasady tożsame znamiona zarówno od strony podmiotowej jak i przedmiotowej, przy czym kryterium wyodrębnienia jest jedno dodatkowe znamię czynu zabronionego, określone przez ustawodawcę, determinujące odpowiedzialność za dany czyn jako wykroczenie, albo przestępstwo. </w:t>
      </w:r>
    </w:p>
    <w:p w14:paraId="712EFFA1" w14:textId="77777777" w:rsidR="00A512F2" w:rsidRDefault="00782A71" w:rsidP="009F38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Istotą czynu przepołowionego jest to, że w razie spełnienia określonych kryteriów rzeczowych lub </w:t>
      </w:r>
      <w:proofErr w:type="spellStart"/>
      <w:r>
        <w:rPr>
          <w:rFonts w:ascii="Arial" w:hAnsi="Arial" w:cs="Arial"/>
        </w:rPr>
        <w:t>ocennych</w:t>
      </w:r>
      <w:proofErr w:type="spellEnd"/>
      <w:r>
        <w:rPr>
          <w:rFonts w:ascii="Arial" w:hAnsi="Arial" w:cs="Arial"/>
        </w:rPr>
        <w:t xml:space="preserve">, dochodzi do zaostrzenia odpowiedzialności za dany czyn w postaci poniesienia odpowiedzialności za czyn zabroniony jako przestępstwo (a ściślej mówiąc występek). </w:t>
      </w:r>
    </w:p>
    <w:p w14:paraId="3311BE5F" w14:textId="77777777" w:rsidR="00095A82" w:rsidRDefault="00095A82" w:rsidP="009F382A">
      <w:pPr>
        <w:rPr>
          <w:rFonts w:ascii="Arial" w:hAnsi="Arial" w:cs="Arial"/>
        </w:rPr>
      </w:pPr>
      <w:r>
        <w:rPr>
          <w:rFonts w:ascii="Arial" w:hAnsi="Arial" w:cs="Arial"/>
        </w:rPr>
        <w:t>Typowymi przykładami czynów przepołowionych są:</w:t>
      </w:r>
    </w:p>
    <w:p w14:paraId="4AC11828" w14:textId="77777777" w:rsidR="00095A82" w:rsidRDefault="00095A82" w:rsidP="00095A82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kradzież zwykła,</w:t>
      </w:r>
    </w:p>
    <w:p w14:paraId="6CC8819B" w14:textId="77777777" w:rsidR="00095A82" w:rsidRDefault="00095A82" w:rsidP="00095A82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zniszczenie mienia,</w:t>
      </w:r>
    </w:p>
    <w:p w14:paraId="632117A9" w14:textId="77777777" w:rsidR="00095A82" w:rsidRDefault="00095A82" w:rsidP="00095A82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jazda w stanie nietrzeźwości / w stanie po użyciu alkoholu</w:t>
      </w:r>
      <w:r w:rsidR="00435583">
        <w:rPr>
          <w:rFonts w:ascii="Arial" w:hAnsi="Arial" w:cs="Arial"/>
        </w:rPr>
        <w:t>.</w:t>
      </w:r>
    </w:p>
    <w:p w14:paraId="07958E15" w14:textId="77777777" w:rsidR="00095A82" w:rsidRDefault="00435583" w:rsidP="004355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przypadku kradzieży zauważyć jednak należy, że pojęcie przepołowienia będzie miało zastosowanie tylko w razie dokonania kradzieży typu podstawowego. Przepołowienie nie występuje w przypadku czynów kwalifikowanych, np. </w:t>
      </w:r>
      <w:r w:rsidR="00B20E52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przypadku rozboju, czy kradzieży szczególnie zuchwałej. </w:t>
      </w:r>
    </w:p>
    <w:p w14:paraId="0F786D62" w14:textId="77777777" w:rsidR="00435583" w:rsidRPr="00435583" w:rsidRDefault="00B20E52" w:rsidP="004355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gruncie czynów przepołowionych może także dojść do zmienia brzmienia ustawy karnej w okresie od popełnienia czynu zabronionego do czasu orzekania. W takim przypadku zastosowanie znajdują normy art. 4 § 1 k.k. oraz art. 2a </w:t>
      </w:r>
      <w:proofErr w:type="spellStart"/>
      <w:r>
        <w:rPr>
          <w:rFonts w:ascii="Arial" w:hAnsi="Arial" w:cs="Arial"/>
        </w:rPr>
        <w:t>k.w</w:t>
      </w:r>
      <w:proofErr w:type="spellEnd"/>
      <w:r>
        <w:rPr>
          <w:rFonts w:ascii="Arial" w:hAnsi="Arial" w:cs="Arial"/>
        </w:rPr>
        <w:t xml:space="preserve">. </w:t>
      </w:r>
    </w:p>
    <w:sectPr w:rsidR="00435583" w:rsidRPr="00435583" w:rsidSect="009F382A">
      <w:type w:val="continuous"/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CA226" w14:textId="77777777" w:rsidR="00056F37" w:rsidRDefault="00056F37" w:rsidP="00056F37">
      <w:pPr>
        <w:spacing w:line="240" w:lineRule="auto"/>
      </w:pPr>
      <w:r>
        <w:separator/>
      </w:r>
    </w:p>
  </w:endnote>
  <w:endnote w:type="continuationSeparator" w:id="0">
    <w:p w14:paraId="6B321689" w14:textId="77777777" w:rsidR="00056F37" w:rsidRDefault="00056F37" w:rsidP="00056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735547"/>
      <w:docPartObj>
        <w:docPartGallery w:val="Page Numbers (Bottom of Page)"/>
        <w:docPartUnique/>
      </w:docPartObj>
    </w:sdtPr>
    <w:sdtEndPr/>
    <w:sdtContent>
      <w:p w14:paraId="4F5B0935" w14:textId="77777777" w:rsidR="00F539BE" w:rsidRDefault="00F539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D2153" w14:textId="77777777" w:rsidR="00F539BE" w:rsidRDefault="00F539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1375" w14:textId="77777777" w:rsidR="00056F37" w:rsidRDefault="00056F37" w:rsidP="00056F37">
      <w:pPr>
        <w:spacing w:line="240" w:lineRule="auto"/>
      </w:pPr>
      <w:r>
        <w:separator/>
      </w:r>
    </w:p>
  </w:footnote>
  <w:footnote w:type="continuationSeparator" w:id="0">
    <w:p w14:paraId="45BA4A77" w14:textId="77777777" w:rsidR="00056F37" w:rsidRDefault="00056F37" w:rsidP="00056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11DA" w14:textId="77777777" w:rsidR="00056F37" w:rsidRPr="001C3FEF" w:rsidRDefault="00056F37" w:rsidP="00056F37">
    <w:pPr>
      <w:pStyle w:val="Nagwek"/>
      <w:jc w:val="center"/>
      <w:rPr>
        <w:rFonts w:ascii="Arial" w:hAnsi="Arial" w:cs="Arial"/>
        <w:i/>
      </w:rPr>
    </w:pPr>
    <w:r w:rsidRPr="001C3FEF">
      <w:rPr>
        <w:rFonts w:ascii="Arial" w:hAnsi="Arial" w:cs="Arial"/>
        <w:i/>
      </w:rPr>
      <w:t>konkurs na asystenta sędziego – A.1101.</w:t>
    </w:r>
    <w:r w:rsidR="00BF7514">
      <w:rPr>
        <w:rFonts w:ascii="Arial" w:hAnsi="Arial" w:cs="Arial"/>
        <w:i/>
      </w:rPr>
      <w:t>2</w:t>
    </w:r>
    <w:r w:rsidRPr="001C3FEF">
      <w:rPr>
        <w:rFonts w:ascii="Arial" w:hAnsi="Arial" w:cs="Arial"/>
        <w:i/>
      </w:rPr>
      <w:t>.2025</w:t>
    </w:r>
  </w:p>
  <w:p w14:paraId="4C88DEFE" w14:textId="77777777" w:rsidR="00056F37" w:rsidRDefault="00056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32F7"/>
    <w:multiLevelType w:val="hybridMultilevel"/>
    <w:tmpl w:val="B11E518E"/>
    <w:lvl w:ilvl="0" w:tplc="B144F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86B7F"/>
    <w:multiLevelType w:val="hybridMultilevel"/>
    <w:tmpl w:val="A90E0E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5E4D9A"/>
    <w:multiLevelType w:val="hybridMultilevel"/>
    <w:tmpl w:val="9252C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B40A70"/>
    <w:multiLevelType w:val="hybridMultilevel"/>
    <w:tmpl w:val="DAEE77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E17F10"/>
    <w:multiLevelType w:val="hybridMultilevel"/>
    <w:tmpl w:val="0DA6DA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94022"/>
    <w:multiLevelType w:val="hybridMultilevel"/>
    <w:tmpl w:val="D5FCA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43C2D"/>
    <w:multiLevelType w:val="hybridMultilevel"/>
    <w:tmpl w:val="8D486F08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4424ACA"/>
    <w:multiLevelType w:val="hybridMultilevel"/>
    <w:tmpl w:val="AEB28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37"/>
    <w:rsid w:val="00017417"/>
    <w:rsid w:val="00056F37"/>
    <w:rsid w:val="00095A82"/>
    <w:rsid w:val="000A5960"/>
    <w:rsid w:val="000C0D32"/>
    <w:rsid w:val="000C2778"/>
    <w:rsid w:val="000E6265"/>
    <w:rsid w:val="00104DA0"/>
    <w:rsid w:val="001123B8"/>
    <w:rsid w:val="00216E69"/>
    <w:rsid w:val="002A78BA"/>
    <w:rsid w:val="002A7B02"/>
    <w:rsid w:val="002B1FEB"/>
    <w:rsid w:val="002B268A"/>
    <w:rsid w:val="002C4602"/>
    <w:rsid w:val="002D0E4E"/>
    <w:rsid w:val="002D1A2D"/>
    <w:rsid w:val="00311210"/>
    <w:rsid w:val="00435583"/>
    <w:rsid w:val="004640EA"/>
    <w:rsid w:val="004C6BE6"/>
    <w:rsid w:val="004E16C4"/>
    <w:rsid w:val="00573842"/>
    <w:rsid w:val="00584354"/>
    <w:rsid w:val="0058613F"/>
    <w:rsid w:val="005A505B"/>
    <w:rsid w:val="005D0DB0"/>
    <w:rsid w:val="00687EDD"/>
    <w:rsid w:val="006A3DC9"/>
    <w:rsid w:val="006B5D3D"/>
    <w:rsid w:val="006C6A0B"/>
    <w:rsid w:val="007511C7"/>
    <w:rsid w:val="00782A71"/>
    <w:rsid w:val="008C1D94"/>
    <w:rsid w:val="008D61D6"/>
    <w:rsid w:val="009378B2"/>
    <w:rsid w:val="009F382A"/>
    <w:rsid w:val="00A143A1"/>
    <w:rsid w:val="00A512F2"/>
    <w:rsid w:val="00AA5112"/>
    <w:rsid w:val="00B20E52"/>
    <w:rsid w:val="00BF7514"/>
    <w:rsid w:val="00C1369F"/>
    <w:rsid w:val="00CC72BA"/>
    <w:rsid w:val="00D445D6"/>
    <w:rsid w:val="00D5047E"/>
    <w:rsid w:val="00D56284"/>
    <w:rsid w:val="00DD303B"/>
    <w:rsid w:val="00F12D39"/>
    <w:rsid w:val="00F539BE"/>
    <w:rsid w:val="00F7482F"/>
    <w:rsid w:val="00FB1489"/>
    <w:rsid w:val="00FD3A47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9929"/>
  <w15:chartTrackingRefBased/>
  <w15:docId w15:val="{4D6A9798-4A19-4B2B-92E2-26EE7B79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F37"/>
  </w:style>
  <w:style w:type="paragraph" w:styleId="Stopka">
    <w:name w:val="footer"/>
    <w:basedOn w:val="Normalny"/>
    <w:link w:val="Stopka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F37"/>
  </w:style>
  <w:style w:type="paragraph" w:styleId="Akapitzlist">
    <w:name w:val="List Paragraph"/>
    <w:basedOn w:val="Normalny"/>
    <w:uiPriority w:val="34"/>
    <w:qFormat/>
    <w:rsid w:val="00056F37"/>
    <w:pPr>
      <w:ind w:left="720"/>
      <w:contextualSpacing/>
    </w:pPr>
  </w:style>
  <w:style w:type="table" w:styleId="Tabela-Siatka">
    <w:name w:val="Table Grid"/>
    <w:basedOn w:val="Standardowy"/>
    <w:uiPriority w:val="39"/>
    <w:rsid w:val="00FD3A47"/>
    <w:pPr>
      <w:spacing w:line="240" w:lineRule="auto"/>
      <w:jc w:val="left"/>
    </w:pPr>
    <w:rPr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D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5933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Filip</dc:creator>
  <cp:keywords/>
  <dc:description/>
  <cp:lastModifiedBy>Dzięciołowska Dorota</cp:lastModifiedBy>
  <cp:revision>2</cp:revision>
  <cp:lastPrinted>2025-03-13T06:31:00Z</cp:lastPrinted>
  <dcterms:created xsi:type="dcterms:W3CDTF">2026-04-14T09:12:00Z</dcterms:created>
  <dcterms:modified xsi:type="dcterms:W3CDTF">2026-04-14T09:12:00Z</dcterms:modified>
</cp:coreProperties>
</file>