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B01E" w14:textId="77777777" w:rsidR="00934D13" w:rsidRPr="00714A24" w:rsidRDefault="00934D13" w:rsidP="00934D13">
      <w:pPr>
        <w:spacing w:after="0" w:line="360" w:lineRule="auto"/>
        <w:ind w:left="0" w:right="0" w:hanging="142"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6663A203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Jeżeli czyn wyczerpuje znamiona określone w dwóch albo więcej przepisach ustawy karnej:</w:t>
      </w:r>
    </w:p>
    <w:p w14:paraId="174B3219" w14:textId="77777777" w:rsidR="00934D13" w:rsidRPr="00714A24" w:rsidRDefault="00934D13" w:rsidP="00934D13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sąd skazuje oskarżonego za każde z przestępstw, ale wykonaniu podlega tylko kara najsurowsza;</w:t>
      </w:r>
    </w:p>
    <w:p w14:paraId="3ACD96DD" w14:textId="77777777" w:rsidR="00934D13" w:rsidRPr="00714A24" w:rsidRDefault="00934D13" w:rsidP="00934D13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sąd skazuje za jedno przestępstwo na podstawie wszystkich zbiegających się prze</w:t>
      </w:r>
      <w:r w:rsidRPr="00714A24">
        <w:rPr>
          <w:rFonts w:eastAsia="Calibri" w:cs="Times New Roman"/>
          <w:kern w:val="0"/>
          <w14:ligatures w14:val="none"/>
        </w:rPr>
        <w:softHyphen/>
        <w:t>pisów;</w:t>
      </w:r>
    </w:p>
    <w:p w14:paraId="2AA39C76" w14:textId="699EC983" w:rsidR="00934D13" w:rsidRPr="00714A24" w:rsidRDefault="00934D13" w:rsidP="00714A24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sąd wymierza karę z nadzwyczajnym obostrzeniem.</w:t>
      </w:r>
    </w:p>
    <w:p w14:paraId="25D19846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Zbrodnią jest:</w:t>
      </w:r>
    </w:p>
    <w:p w14:paraId="74CB7664" w14:textId="77777777" w:rsidR="00934D13" w:rsidRPr="00714A24" w:rsidRDefault="00934D13" w:rsidP="00934D13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czyn zabroniony zagrożony karą pozbawienia wolności na czas przekraczający 10 lat;</w:t>
      </w:r>
    </w:p>
    <w:p w14:paraId="3C89C6AD" w14:textId="77777777" w:rsidR="00934D13" w:rsidRPr="00714A24" w:rsidRDefault="00934D13" w:rsidP="00934D13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czyn dokonany z motywacji w wyniku motywacji zasługującej na szczególne potę</w:t>
      </w:r>
      <w:r w:rsidRPr="00714A24">
        <w:rPr>
          <w:rFonts w:eastAsia="Calibri" w:cs="Times New Roman"/>
          <w:kern w:val="0"/>
          <w14:ligatures w14:val="none"/>
        </w:rPr>
        <w:softHyphen/>
        <w:t>pienie;</w:t>
      </w:r>
    </w:p>
    <w:p w14:paraId="283E8E4E" w14:textId="6A32D252" w:rsidR="00934D13" w:rsidRPr="00714A24" w:rsidRDefault="00934D13" w:rsidP="00714A24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czyn zabroniony zagrożony karą pozbawienia wolności na czas nie krótszy od lat 3 albo karą surowszą.</w:t>
      </w:r>
    </w:p>
    <w:p w14:paraId="02E61F5B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Kara ograniczenia wolności nie może polegać na:</w:t>
      </w:r>
    </w:p>
    <w:p w14:paraId="514D9171" w14:textId="77777777" w:rsidR="00934D13" w:rsidRPr="00714A24" w:rsidRDefault="00934D13" w:rsidP="00934D1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obowiązku wykonywania nieodpłatnej, kontrolowanej pracy na cele społeczne;</w:t>
      </w:r>
    </w:p>
    <w:p w14:paraId="27D17C6A" w14:textId="77777777" w:rsidR="00934D13" w:rsidRPr="00714A24" w:rsidRDefault="00934D13" w:rsidP="00934D1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obowiązku pozostawania w miejscu stałego pobytu lub w innym wyznaczonym miej</w:t>
      </w:r>
      <w:r w:rsidRPr="00714A24">
        <w:rPr>
          <w:rFonts w:eastAsia="Calibri" w:cs="Times New Roman"/>
          <w:kern w:val="0"/>
          <w14:ligatures w14:val="none"/>
        </w:rPr>
        <w:softHyphen/>
        <w:t>scu, z zastosowaniem systemu dozoru elektronicznego;</w:t>
      </w:r>
    </w:p>
    <w:p w14:paraId="2A9EA941" w14:textId="77777777" w:rsidR="00934D13" w:rsidRPr="00714A24" w:rsidRDefault="00934D13" w:rsidP="00934D1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potrąceniu od 10% do 25% wynagrodzenia za pracę w stosunku miesięcznym na cel społeczny wskazany przez sąd.</w:t>
      </w:r>
    </w:p>
    <w:p w14:paraId="23CFE5AD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9AAE720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 xml:space="preserve">Proszę wybrać wyliczenie prawdziwe - </w:t>
      </w:r>
      <w:r w:rsidRPr="00714A24">
        <w:rPr>
          <w:rFonts w:eastAsia="Calibri" w:cs="Times New Roman"/>
          <w:i/>
          <w:kern w:val="0"/>
          <w14:ligatures w14:val="none"/>
        </w:rPr>
        <w:t>Środkami karnymi są:</w:t>
      </w:r>
    </w:p>
    <w:p w14:paraId="2C71A931" w14:textId="77777777" w:rsidR="00934D13" w:rsidRPr="00714A24" w:rsidRDefault="00934D13" w:rsidP="00934D1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i/>
          <w:kern w:val="0"/>
          <w14:ligatures w14:val="none"/>
        </w:rPr>
        <w:t>pozbawienie praw publicznych, zakaz wstępu na imprezę masową, podanie wyroku do publicznej wiadomości</w:t>
      </w:r>
      <w:r w:rsidRPr="00714A24">
        <w:rPr>
          <w:rFonts w:eastAsia="Calibri" w:cs="Times New Roman"/>
          <w:kern w:val="0"/>
          <w14:ligatures w14:val="none"/>
        </w:rPr>
        <w:t>;</w:t>
      </w:r>
    </w:p>
    <w:p w14:paraId="1F748C4D" w14:textId="77777777" w:rsidR="00934D13" w:rsidRPr="00714A24" w:rsidRDefault="00934D13" w:rsidP="00934D1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i/>
          <w:kern w:val="0"/>
          <w14:ligatures w14:val="none"/>
        </w:rPr>
        <w:t>pozbawienia praw publicznych, pobyt w zakładzie psychiatrycznym, zakaz prowa</w:t>
      </w:r>
      <w:r w:rsidRPr="00714A24">
        <w:rPr>
          <w:rFonts w:eastAsia="Calibri" w:cs="Times New Roman"/>
          <w:i/>
          <w:kern w:val="0"/>
          <w14:ligatures w14:val="none"/>
        </w:rPr>
        <w:softHyphen/>
        <w:t>dzenia pojazdów</w:t>
      </w:r>
      <w:r w:rsidRPr="00714A24">
        <w:rPr>
          <w:rFonts w:eastAsia="Calibri" w:cs="Times New Roman"/>
          <w:kern w:val="0"/>
          <w14:ligatures w14:val="none"/>
        </w:rPr>
        <w:t>;</w:t>
      </w:r>
    </w:p>
    <w:p w14:paraId="55373519" w14:textId="77777777" w:rsidR="00934D13" w:rsidRPr="00714A24" w:rsidRDefault="00934D13" w:rsidP="00934D1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i/>
          <w:kern w:val="0"/>
          <w14:ligatures w14:val="none"/>
        </w:rPr>
        <w:t>elektroniczna kontrola miejsca pobytu, świadczenie pieniężne, zakaz zajmowania ok</w:t>
      </w:r>
      <w:r w:rsidRPr="00714A24">
        <w:rPr>
          <w:rFonts w:eastAsia="Calibri" w:cs="Times New Roman"/>
          <w:i/>
          <w:kern w:val="0"/>
          <w14:ligatures w14:val="none"/>
        </w:rPr>
        <w:softHyphen/>
        <w:t>reślonego stanowiska</w:t>
      </w:r>
      <w:r w:rsidRPr="00714A24">
        <w:rPr>
          <w:rFonts w:eastAsia="Calibri" w:cs="Times New Roman"/>
          <w:kern w:val="0"/>
          <w14:ligatures w14:val="none"/>
        </w:rPr>
        <w:t>.</w:t>
      </w:r>
    </w:p>
    <w:p w14:paraId="41FCD2BA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B2D10D3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Zgodnie z kodeksem karnym można warunkowo zawiesić wykonanie kary 3 lat poz</w:t>
      </w:r>
      <w:r w:rsidRPr="00714A24">
        <w:rPr>
          <w:rFonts w:eastAsia="Calibri" w:cs="Times New Roman"/>
          <w:kern w:val="0"/>
          <w14:ligatures w14:val="none"/>
        </w:rPr>
        <w:softHyphen/>
        <w:t>bawienia wolności:</w:t>
      </w:r>
    </w:p>
    <w:p w14:paraId="2AEB2DAB" w14:textId="77777777" w:rsidR="00934D13" w:rsidRPr="00714A24" w:rsidRDefault="00934D13" w:rsidP="00934D13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jeżeli sprawca w czasie popełnienia przestępstwa nie był skazany na karę pozbawie</w:t>
      </w:r>
      <w:r w:rsidRPr="00714A24">
        <w:rPr>
          <w:rFonts w:eastAsia="Calibri" w:cs="Times New Roman"/>
          <w:kern w:val="0"/>
          <w14:ligatures w14:val="none"/>
        </w:rPr>
        <w:softHyphen/>
        <w:t>nia wolności i jest to wystarczające dla osiągnięcia wobec niego celów kary, a w szczególności zapobieżenia powrotowi do przestępstwa;</w:t>
      </w:r>
    </w:p>
    <w:p w14:paraId="1B43C9BF" w14:textId="77777777" w:rsidR="00934D13" w:rsidRPr="00714A24" w:rsidRDefault="00934D13" w:rsidP="00934D13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lastRenderedPageBreak/>
        <w:t>w przypadku nadzwyczajnego złagodzenia kary w stosunku do sprawcy współdziała</w:t>
      </w:r>
      <w:r w:rsidRPr="00714A24">
        <w:rPr>
          <w:rFonts w:eastAsia="Calibri" w:cs="Times New Roman"/>
          <w:kern w:val="0"/>
          <w14:ligatures w14:val="none"/>
        </w:rPr>
        <w:softHyphen/>
        <w:t xml:space="preserve">jącego z innymi osobami w popełnieniu przestępstwa, jeżeli ujawni on wobec organu powołanego do ścigania przestępstw informacje dotyczące osób uczestniczących w popełnieniu przestępstwa oraz istotne okoliczności jego popełnienia; </w:t>
      </w:r>
    </w:p>
    <w:p w14:paraId="129F68F3" w14:textId="77777777" w:rsidR="00934D13" w:rsidRPr="00714A24" w:rsidRDefault="00934D13" w:rsidP="00934D13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w obecnym stanie prawnym nie jest dopuszczalne warunkowe zawieszenie takiej kary.</w:t>
      </w:r>
    </w:p>
    <w:p w14:paraId="0889ED79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E680177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 xml:space="preserve">Skazany na karę dożywotniego pozbawienia wolności: </w:t>
      </w:r>
    </w:p>
    <w:p w14:paraId="670D0925" w14:textId="77777777" w:rsidR="00934D13" w:rsidRPr="00714A24" w:rsidRDefault="00934D13" w:rsidP="00934D13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może zostać warunkowo przedterminowo zwolniony po odbyciu 25 lat kary;</w:t>
      </w:r>
    </w:p>
    <w:p w14:paraId="7A24C540" w14:textId="77777777" w:rsidR="00934D13" w:rsidRPr="00714A24" w:rsidRDefault="00934D13" w:rsidP="00934D13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może zostać warunkowo przedterminowo zwolniony po odbyciu 25 lat kary, ale sąd w wyroku może wyznaczyć surowsze ograniczenie;</w:t>
      </w:r>
    </w:p>
    <w:p w14:paraId="6FB02F45" w14:textId="77777777" w:rsidR="00934D13" w:rsidRPr="00714A24" w:rsidRDefault="00934D13" w:rsidP="00934D13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nie może zostać warunkowo przedterminowo zwolniony.</w:t>
      </w:r>
    </w:p>
    <w:p w14:paraId="55125031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A9B57D2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 xml:space="preserve">Art. 190a § 1 kodeksu karnego stanowi: </w:t>
      </w:r>
      <w:r w:rsidRPr="00714A24">
        <w:rPr>
          <w:rFonts w:eastAsia="Calibri" w:cs="Times New Roman"/>
          <w:i/>
          <w:kern w:val="0"/>
          <w14:ligatures w14:val="none"/>
        </w:rPr>
        <w:t>Kto przez uporczywe nękanie innej osoby lub osoby jej najbliższej wzbudza u niej uzasadnione okolicznościami poczucie zagrożenia, poniżenia lub udręczenia lub istotnie narusza jej prywatność, podlega karze pozbawie</w:t>
      </w:r>
      <w:r w:rsidRPr="00714A24">
        <w:rPr>
          <w:rFonts w:eastAsia="Calibri" w:cs="Times New Roman"/>
          <w:i/>
          <w:kern w:val="0"/>
          <w14:ligatures w14:val="none"/>
        </w:rPr>
        <w:softHyphen/>
        <w:t>nia wolności od 6 miesięcy do lat 8</w:t>
      </w:r>
      <w:r w:rsidRPr="00714A24">
        <w:rPr>
          <w:rFonts w:eastAsia="Calibri" w:cs="Times New Roman"/>
          <w:kern w:val="0"/>
          <w14:ligatures w14:val="none"/>
        </w:rPr>
        <w:t>. Przestępstwo to określane jest w piśmiennictwie jako:</w:t>
      </w:r>
    </w:p>
    <w:p w14:paraId="7484DBF7" w14:textId="77777777" w:rsidR="00934D13" w:rsidRPr="00714A24" w:rsidRDefault="00934D13" w:rsidP="00934D1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naruszenie miru domowego;</w:t>
      </w:r>
    </w:p>
    <w:p w14:paraId="27F79A47" w14:textId="77777777" w:rsidR="00934D13" w:rsidRPr="00714A24" w:rsidRDefault="00934D13" w:rsidP="00934D1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naruszenie nietykalności cielesnej;</w:t>
      </w:r>
    </w:p>
    <w:p w14:paraId="60E65FE5" w14:textId="77777777" w:rsidR="00934D13" w:rsidRPr="00714A24" w:rsidRDefault="00934D13" w:rsidP="00934D1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stalking.</w:t>
      </w:r>
    </w:p>
    <w:p w14:paraId="00F9C6B0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0947F009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Zgodnie z kodeksem karnym odpowiedzialność za przestępstwo poniesie osoba, któ</w:t>
      </w:r>
      <w:r w:rsidRPr="00714A24">
        <w:rPr>
          <w:rFonts w:eastAsia="Calibri" w:cs="Times New Roman"/>
          <w:kern w:val="0"/>
          <w14:ligatures w14:val="none"/>
        </w:rPr>
        <w:softHyphen/>
        <w:t>ra:</w:t>
      </w:r>
    </w:p>
    <w:p w14:paraId="27D02F30" w14:textId="77777777" w:rsidR="00934D13" w:rsidRPr="00714A24" w:rsidRDefault="00934D13" w:rsidP="00934D13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78AEFFF7" w14:textId="77777777" w:rsidR="00934D13" w:rsidRPr="00714A24" w:rsidRDefault="00934D13" w:rsidP="00934D13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uprawia prostytucję;</w:t>
      </w:r>
    </w:p>
    <w:p w14:paraId="6C9E9FC6" w14:textId="77777777" w:rsidR="00934D13" w:rsidRPr="00714A24" w:rsidRDefault="00934D13" w:rsidP="00934D13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1C646CE3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3B200FA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Sprawca dopuszcza się wymuszenia rozbójniczego (art. 282 kk), gdy:</w:t>
      </w:r>
    </w:p>
    <w:p w14:paraId="6EDC5FB8" w14:textId="77777777" w:rsidR="00934D13" w:rsidRPr="00714A24" w:rsidRDefault="00934D13" w:rsidP="00934D13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w celu osiągnięcia korzyści majątkowej, przemocą, groźbą zamachu na życie lub zdrowie albo gwałtownego zamachu na mienie, doprowadza inną osobę do rozporzą</w:t>
      </w:r>
      <w:r w:rsidRPr="00714A24">
        <w:rPr>
          <w:rFonts w:eastAsia="Calibri" w:cs="Times New Roman"/>
          <w:kern w:val="0"/>
          <w14:ligatures w14:val="none"/>
        </w:rPr>
        <w:softHyphen/>
        <w:t>dzenia mieniem własnym lub cudzym albo do zaprzestania działalności gospodarcze;</w:t>
      </w:r>
    </w:p>
    <w:p w14:paraId="1750FB13" w14:textId="77777777" w:rsidR="00934D13" w:rsidRPr="00714A24" w:rsidRDefault="00934D13" w:rsidP="00934D13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714A24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18BCCAAB" w14:textId="77777777" w:rsidR="00934D13" w:rsidRPr="00714A24" w:rsidRDefault="00934D13" w:rsidP="00934D13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lastRenderedPageBreak/>
        <w:t>dokonuje zaboru rzeczy używając przemocy wobec osoby lub grożąc natychmiasto</w:t>
      </w:r>
      <w:r w:rsidRPr="00714A24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714A24">
        <w:rPr>
          <w:rFonts w:eastAsia="Calibri" w:cs="Times New Roman"/>
          <w:kern w:val="0"/>
          <w14:ligatures w14:val="none"/>
        </w:rPr>
        <w:softHyphen/>
        <w:t>bronności.</w:t>
      </w:r>
    </w:p>
    <w:p w14:paraId="1DB7AF88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AD5AABB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i/>
          <w:kern w:val="0"/>
          <w14:ligatures w14:val="none"/>
        </w:rPr>
        <w:t>Organy prowadzące postępowanie karne są obowiązane badać oraz uwzględniać oko</w:t>
      </w:r>
      <w:r w:rsidRPr="00714A24">
        <w:rPr>
          <w:rFonts w:eastAsia="Calibri" w:cs="Times New Roman"/>
          <w:i/>
          <w:kern w:val="0"/>
          <w14:ligatures w14:val="none"/>
        </w:rPr>
        <w:softHyphen/>
        <w:t>liczności przemawiające zarówno na korzyść, jak i na niekorzyść oskarżonego</w:t>
      </w:r>
      <w:r w:rsidRPr="00714A24">
        <w:rPr>
          <w:rFonts w:eastAsia="Calibri" w:cs="Times New Roman"/>
          <w:kern w:val="0"/>
          <w14:ligatures w14:val="none"/>
        </w:rPr>
        <w:t>. W ten sposób skodyfikowana została zasada:</w:t>
      </w:r>
    </w:p>
    <w:p w14:paraId="620395DB" w14:textId="77777777" w:rsidR="00934D13" w:rsidRPr="00714A24" w:rsidRDefault="00934D13" w:rsidP="00934D13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prawdy materialnej;</w:t>
      </w:r>
    </w:p>
    <w:p w14:paraId="3E98EF2A" w14:textId="77777777" w:rsidR="00934D13" w:rsidRPr="00714A24" w:rsidRDefault="00934D13" w:rsidP="00934D13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obiektywizmu;</w:t>
      </w:r>
    </w:p>
    <w:p w14:paraId="0C1BFAB9" w14:textId="77777777" w:rsidR="00934D13" w:rsidRPr="00714A24" w:rsidRDefault="00934D13" w:rsidP="00934D13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legalizmu.</w:t>
      </w:r>
    </w:p>
    <w:p w14:paraId="286E443B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93C47AD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 xml:space="preserve">Pokrzywdzony oświadczenie, że w postępowaniu zamierza działać jako oskarżyciel posiłkowy obowiązany jest złożyć: </w:t>
      </w:r>
    </w:p>
    <w:p w14:paraId="08969330" w14:textId="77777777" w:rsidR="00934D13" w:rsidRPr="00714A24" w:rsidRDefault="00934D13" w:rsidP="00934D1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w terminie 7 dni od zawiadomienia go przez prokuratora o skierowaniu do sądu aktu oskarżenia;</w:t>
      </w:r>
    </w:p>
    <w:p w14:paraId="13995C07" w14:textId="77777777" w:rsidR="00934D13" w:rsidRPr="00714A24" w:rsidRDefault="00934D13" w:rsidP="00934D1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do czasu rozpoczęcia przewodu sądowego na rozprawie głównej;</w:t>
      </w:r>
    </w:p>
    <w:p w14:paraId="7D6C25DF" w14:textId="77777777" w:rsidR="00934D13" w:rsidRPr="00714A24" w:rsidRDefault="00934D13" w:rsidP="00934D1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do zakończenia pierwszego przesłuchania na rozprawie głównej.</w:t>
      </w:r>
    </w:p>
    <w:p w14:paraId="38F5D818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A6FE2C4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Tymczasowe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t xml:space="preserve"> aresztowanie podejrzanego może nastąpić:</w:t>
      </w:r>
    </w:p>
    <w:p w14:paraId="415B4F12" w14:textId="77777777" w:rsidR="00934D13" w:rsidRPr="00714A24" w:rsidRDefault="00934D13" w:rsidP="00934D13">
      <w:pPr>
        <w:numPr>
          <w:ilvl w:val="0"/>
          <w:numId w:val="6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tylko na mocy postanowienia sądu;</w:t>
      </w:r>
    </w:p>
    <w:p w14:paraId="66F54585" w14:textId="77777777" w:rsidR="00934D13" w:rsidRPr="00714A24" w:rsidRDefault="00934D13" w:rsidP="00934D13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6A78F34E" w14:textId="77777777" w:rsidR="00934D13" w:rsidRPr="00714A24" w:rsidRDefault="00934D13" w:rsidP="00934D13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na mocy postanowienia niezawisłego sędziego śledczego ustanowionego przy proku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raturze prowadzącej postępowanie.</w:t>
      </w:r>
    </w:p>
    <w:p w14:paraId="3D1AD812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9DFF11F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List żelazny to:</w:t>
      </w:r>
    </w:p>
    <w:p w14:paraId="2F321026" w14:textId="77777777" w:rsidR="00934D13" w:rsidRPr="00714A24" w:rsidRDefault="00934D13" w:rsidP="00934D13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poręczenie osoby godnej zaufania, że oskarżony stawi się na każde wezwanie i nie będzie w sposób bezprawny utrudniał postępowania;</w:t>
      </w:r>
    </w:p>
    <w:p w14:paraId="2EA24C23" w14:textId="77777777" w:rsidR="00934D13" w:rsidRPr="00714A24" w:rsidRDefault="00934D13" w:rsidP="00934D13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instytucja znana poprzednim kodyfikacjom procesowym, która nie została – ze względu na archaiczność – recypowana do kodeksu postępowania karnego z 1997 roku;</w:t>
      </w:r>
    </w:p>
    <w:p w14:paraId="234F9563" w14:textId="77777777" w:rsidR="00934D13" w:rsidRPr="00714A24" w:rsidRDefault="00934D13" w:rsidP="00934D13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orzeczenie sądu zapewniające oskarżonemu pozostawanie na wolności aż do prawo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 xml:space="preserve">mocnego ukończenia postępowania pod określonymi warunkami, poprzedzone jego 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lastRenderedPageBreak/>
        <w:t>oświadczeniem, że stawi się do sądu lub do prokuratora w oznaczonym terminie pod warunkiem odpowiadania z wolnej stopy.</w:t>
      </w:r>
    </w:p>
    <w:p w14:paraId="3F22B30F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13C13DA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Zgodnie z art. 387 kpk (tzw. dobrowolne poddanie się karze) sąd może uwzględnić wniosek oskarżonego o wydanie wyroku skazującego i wymierzenie mu określonej kary lub środka karnego, jeżeli:</w:t>
      </w:r>
    </w:p>
    <w:p w14:paraId="68D25E05" w14:textId="77777777" w:rsidR="00934D13" w:rsidRPr="00714A24" w:rsidRDefault="00934D13" w:rsidP="00934D13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696DDF20" w14:textId="77777777" w:rsidR="00934D13" w:rsidRPr="00714A24" w:rsidRDefault="00934D13" w:rsidP="00934D13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gdy nie sprzeciwia się temu prokurator, a także pokrzywdzony należycie powiado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miony o terminie rozprawy oraz pouczony o możliwości zgłoszenia przez oskarżone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go takiego wniosku;</w:t>
      </w:r>
    </w:p>
    <w:p w14:paraId="3715AB63" w14:textId="77777777" w:rsidR="00934D13" w:rsidRPr="00714A24" w:rsidRDefault="00934D13" w:rsidP="00934D13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gdy wyraża na to zgodę prokurator, pokrzywdzony należycie powiadomiony o termi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nie rozprawy i pouczony o możliwości zgłoszenia przez oskarżonego takiego wnio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s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ku nie zgłosił sprzeciwu.</w:t>
      </w:r>
    </w:p>
    <w:p w14:paraId="555CC9DC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3B8CF0B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Na posiedzenie pojednawcze bez usprawiedliwienia nie stawili się oskarżyciel pry</w:t>
      </w:r>
      <w:r w:rsidRPr="00714A24">
        <w:rPr>
          <w:rFonts w:eastAsia="Calibri" w:cs="Times New Roman"/>
          <w:kern w:val="0"/>
          <w14:ligatures w14:val="none"/>
        </w:rPr>
        <w:softHyphen/>
        <w:t>watny oraz jego pełnomocnik. W takiej sytuacji prowadzący posiedzenie:</w:t>
      </w:r>
    </w:p>
    <w:p w14:paraId="43EBB5D5" w14:textId="77777777" w:rsidR="00934D13" w:rsidRPr="00714A24" w:rsidRDefault="00934D13" w:rsidP="00934D13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uznaje prywatny akt oskarżenia za bezskuteczny;</w:t>
      </w:r>
    </w:p>
    <w:p w14:paraId="44AB883E" w14:textId="77777777" w:rsidR="00934D13" w:rsidRPr="00714A24" w:rsidRDefault="00934D13" w:rsidP="00934D13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postępowanie umarza;</w:t>
      </w:r>
    </w:p>
    <w:p w14:paraId="03968087" w14:textId="77777777" w:rsidR="00934D13" w:rsidRPr="00714A24" w:rsidRDefault="00934D13" w:rsidP="00934D13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odracza posiedzenie.</w:t>
      </w:r>
    </w:p>
    <w:p w14:paraId="3FCD71E4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797102B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Sąd I instancji w wyroku orzekł wobec oskarżonego pozbawienie obywatelstwa pols</w:t>
      </w:r>
      <w:r w:rsidRPr="00714A24">
        <w:rPr>
          <w:rFonts w:eastAsia="Calibri" w:cs="Times New Roman"/>
          <w:kern w:val="0"/>
          <w14:ligatures w14:val="none"/>
        </w:rPr>
        <w:softHyphen/>
        <w:t>kiego na okres 11 lat. W tej sytuacji:</w:t>
      </w:r>
    </w:p>
    <w:p w14:paraId="09542162" w14:textId="77777777" w:rsidR="00934D13" w:rsidRPr="00714A24" w:rsidRDefault="00934D13" w:rsidP="00934D13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sąd odwoławczy zwróci akta sądowi I instancji celem sprostowania oczywistej omył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ki pisarskiej;</w:t>
      </w:r>
    </w:p>
    <w:p w14:paraId="7B916552" w14:textId="77777777" w:rsidR="00934D13" w:rsidRPr="00714A24" w:rsidRDefault="00934D13" w:rsidP="00934D13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sąd odwoławczy uchyli zaskarżony wyrok niezależnie od granic zaskarżenia i pod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niesionych zarzutów oraz wpływu uchybienia na treść orzeczenia;</w:t>
      </w:r>
    </w:p>
    <w:p w14:paraId="13E8E7E3" w14:textId="77777777" w:rsidR="00934D13" w:rsidRPr="00714A24" w:rsidRDefault="00934D13" w:rsidP="00934D13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sąd odwoławczy uchyli zaskarżony wyrok jedynie wtedy, gdy tego rozstrzygnięcia będzie dotyczył apelacji.</w:t>
      </w:r>
    </w:p>
    <w:p w14:paraId="6914B4EC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A6DAA2F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Środek odwoławczy wnosi się na piśmie:</w:t>
      </w:r>
    </w:p>
    <w:p w14:paraId="3C26AEDB" w14:textId="77777777" w:rsidR="00934D13" w:rsidRPr="00714A24" w:rsidRDefault="00934D13" w:rsidP="00934D13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do sądu, który wydał zaskarżonego orzeczenie;</w:t>
      </w:r>
    </w:p>
    <w:p w14:paraId="330EE2F9" w14:textId="77777777" w:rsidR="00934D13" w:rsidRPr="00714A24" w:rsidRDefault="00934D13" w:rsidP="00934D13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bezpośrednio do sądu odwoławczego;</w:t>
      </w:r>
    </w:p>
    <w:p w14:paraId="5D263502" w14:textId="77777777" w:rsidR="00934D13" w:rsidRPr="00714A24" w:rsidRDefault="00934D13" w:rsidP="00934D13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do sądu I instancji lub do sądu odwoławczego.</w:t>
      </w:r>
    </w:p>
    <w:p w14:paraId="1DCC83AB" w14:textId="77777777" w:rsidR="00934D13" w:rsidRPr="00714A24" w:rsidRDefault="00934D13" w:rsidP="00934D13">
      <w:pPr>
        <w:spacing w:after="0" w:line="360" w:lineRule="auto"/>
        <w:ind w:left="0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49E3E6DA" w14:textId="77777777" w:rsidR="00934D13" w:rsidRPr="00714A24" w:rsidRDefault="00934D13" w:rsidP="00934D13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lastRenderedPageBreak/>
        <w:t>Sąd rozpoznający sprawę po wniesieniu sprzeciwu od wyroku nakazowego:</w:t>
      </w:r>
    </w:p>
    <w:p w14:paraId="471C07B8" w14:textId="77777777" w:rsidR="00934D13" w:rsidRPr="00714A24" w:rsidRDefault="00934D13" w:rsidP="00934D13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nie może wymierzyć kary surowszego rodzaju;</w:t>
      </w:r>
    </w:p>
    <w:p w14:paraId="19610579" w14:textId="77777777" w:rsidR="00934D13" w:rsidRPr="00714A24" w:rsidRDefault="00934D13" w:rsidP="00934D13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nie jest związany treścią wyroku nakazowego;</w:t>
      </w:r>
    </w:p>
    <w:p w14:paraId="3A1BAE73" w14:textId="77777777" w:rsidR="00934D13" w:rsidRPr="00714A24" w:rsidRDefault="00934D13" w:rsidP="00934D13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714A24">
        <w:rPr>
          <w:rFonts w:eastAsia="Calibri" w:cs="Times New Roman"/>
          <w:kern w:val="0"/>
          <w14:ligatures w14:val="none"/>
        </w:rPr>
        <w:t>może wymierzyć karę surowszego rodzaju tylko w sytuacji, jeżeli sprzeciw złożył prokurator.</w:t>
      </w:r>
    </w:p>
    <w:p w14:paraId="4638052E" w14:textId="77777777" w:rsidR="00B34EC7" w:rsidRPr="00714A24" w:rsidRDefault="00B34EC7">
      <w:pPr>
        <w:rPr>
          <w:rFonts w:cs="Times New Roman"/>
        </w:rPr>
      </w:pPr>
    </w:p>
    <w:p w14:paraId="2B72C183" w14:textId="77777777" w:rsidR="00934D13" w:rsidRPr="00714A24" w:rsidRDefault="00934D13">
      <w:pPr>
        <w:rPr>
          <w:rFonts w:cs="Times New Roman"/>
        </w:rPr>
      </w:pPr>
    </w:p>
    <w:p w14:paraId="3774EA4A" w14:textId="77777777" w:rsidR="00934D13" w:rsidRPr="00714A24" w:rsidRDefault="00934D13" w:rsidP="00934D13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714A24">
        <w:rPr>
          <w:rFonts w:eastAsia="Calibri" w:cs="Times New Roman"/>
          <w:color w:val="000000"/>
          <w:kern w:val="0"/>
          <w14:ligatures w14:val="none"/>
        </w:rPr>
        <w:t>PRAWO KARNE</w:t>
      </w:r>
    </w:p>
    <w:p w14:paraId="1B4CFBF1" w14:textId="77777777" w:rsidR="00934D13" w:rsidRPr="00714A24" w:rsidRDefault="00934D13" w:rsidP="00934D13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Prokurator Prokuratury Rejonowej w Piasecznie skierował do Sądu Rejonowego dla Warsza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wy-Śródmieścia w Warszawie akt oskarżenia przeciwko Krzysztofowi T. Oskarżonego rep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 xml:space="preserve">rezentuje obrońca adw. Jacek G. </w:t>
      </w:r>
    </w:p>
    <w:p w14:paraId="736A04F8" w14:textId="77777777" w:rsidR="00934D13" w:rsidRPr="00714A24" w:rsidRDefault="00934D13" w:rsidP="00934D13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Oskarżonemu zarzucono, że dnia 11 listopada 2022r. w Warszawie przy ul. Świętokrzyskiej Emilii Plater publicznie znieważył flagę państwową w ten sposób, że zerwał ją z elewacji budynku, rzucił na ziemię i podeptał, przy czym był to występek o charakterze chuligańskim, to jest przestępstwo z art. 137 § 1 kk w zw. z art. 57a § 1 kk.</w:t>
      </w:r>
    </w:p>
    <w:p w14:paraId="454D95AE" w14:textId="77777777" w:rsidR="00934D13" w:rsidRPr="00714A24" w:rsidRDefault="00934D13" w:rsidP="00934D13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 xml:space="preserve">Art. 35 § 1 kpk stanowi: </w:t>
      </w:r>
      <w:r w:rsidRPr="00714A24">
        <w:rPr>
          <w:rFonts w:eastAsia="Times New Roman" w:cs="Times New Roman"/>
          <w:i/>
          <w:kern w:val="0"/>
          <w:lang w:eastAsia="pl-PL"/>
          <w14:ligatures w14:val="none"/>
        </w:rPr>
        <w:t>sąd bada z urzędu swą właściwość, a w razie stwierdzenia swej nie</w:t>
      </w:r>
      <w:r w:rsidRPr="00714A24">
        <w:rPr>
          <w:rFonts w:eastAsia="Times New Roman" w:cs="Times New Roman"/>
          <w:i/>
          <w:kern w:val="0"/>
          <w:lang w:eastAsia="pl-PL"/>
          <w14:ligatures w14:val="none"/>
        </w:rPr>
        <w:softHyphen/>
        <w:t>właściwości przekazuje sprawę właściwemu sądowi lub innemu organowi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19390E60" w14:textId="4C740A27" w:rsidR="00934D13" w:rsidRPr="00714A24" w:rsidRDefault="00934D13" w:rsidP="00934D13">
      <w:pPr>
        <w:rPr>
          <w:rFonts w:cs="Times New Roman"/>
        </w:rPr>
      </w:pPr>
      <w:r w:rsidRPr="00714A24">
        <w:rPr>
          <w:rFonts w:eastAsia="Times New Roman" w:cs="Times New Roman"/>
          <w:kern w:val="0"/>
          <w:lang w:eastAsia="pl-PL"/>
          <w14:ligatures w14:val="none"/>
        </w:rPr>
        <w:t>Proszę dokonać kontroli sprawy przez pryzmat przepisów dotyczących właściwości Sądu i przygotować projekt odpowiedniego postanowienia (wraz z niezbędnymi zarządze</w:t>
      </w:r>
      <w:r w:rsidRPr="00714A24">
        <w:rPr>
          <w:rFonts w:eastAsia="Times New Roman" w:cs="Times New Roman"/>
          <w:kern w:val="0"/>
          <w:lang w:eastAsia="pl-PL"/>
          <w14:ligatures w14:val="none"/>
        </w:rPr>
        <w:softHyphen/>
        <w:t>niami).</w:t>
      </w:r>
    </w:p>
    <w:sectPr w:rsidR="00934D13" w:rsidRPr="0071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701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297AAA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546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343042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A041E3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FB62833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4B54DD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F5D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E091B4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9"/>
  </w:num>
  <w:num w:numId="5" w16cid:durableId="828248301">
    <w:abstractNumId w:val="12"/>
  </w:num>
  <w:num w:numId="6" w16cid:durableId="1792432018">
    <w:abstractNumId w:val="14"/>
  </w:num>
  <w:num w:numId="7" w16cid:durableId="808202899">
    <w:abstractNumId w:val="1"/>
  </w:num>
  <w:num w:numId="8" w16cid:durableId="1002200699">
    <w:abstractNumId w:val="13"/>
  </w:num>
  <w:num w:numId="9" w16cid:durableId="1593203876">
    <w:abstractNumId w:val="15"/>
  </w:num>
  <w:num w:numId="10" w16cid:durableId="127866226">
    <w:abstractNumId w:val="4"/>
  </w:num>
  <w:num w:numId="11" w16cid:durableId="1911041875">
    <w:abstractNumId w:val="18"/>
  </w:num>
  <w:num w:numId="12" w16cid:durableId="155457873">
    <w:abstractNumId w:val="8"/>
  </w:num>
  <w:num w:numId="13" w16cid:durableId="350762089">
    <w:abstractNumId w:val="19"/>
  </w:num>
  <w:num w:numId="14" w16cid:durableId="1675454962">
    <w:abstractNumId w:val="22"/>
  </w:num>
  <w:num w:numId="15" w16cid:durableId="1953051641">
    <w:abstractNumId w:val="2"/>
  </w:num>
  <w:num w:numId="16" w16cid:durableId="201282663">
    <w:abstractNumId w:val="6"/>
  </w:num>
  <w:num w:numId="17" w16cid:durableId="251396835">
    <w:abstractNumId w:val="3"/>
  </w:num>
  <w:num w:numId="18" w16cid:durableId="1806893388">
    <w:abstractNumId w:val="11"/>
  </w:num>
  <w:num w:numId="19" w16cid:durableId="147405714">
    <w:abstractNumId w:val="20"/>
  </w:num>
  <w:num w:numId="20" w16cid:durableId="1604339590">
    <w:abstractNumId w:val="5"/>
  </w:num>
  <w:num w:numId="21" w16cid:durableId="163984067">
    <w:abstractNumId w:val="7"/>
  </w:num>
  <w:num w:numId="22" w16cid:durableId="806432010">
    <w:abstractNumId w:val="10"/>
  </w:num>
  <w:num w:numId="23" w16cid:durableId="1091198450">
    <w:abstractNumId w:val="21"/>
  </w:num>
  <w:num w:numId="24" w16cid:durableId="16266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13"/>
    <w:rsid w:val="0017013F"/>
    <w:rsid w:val="0017340A"/>
    <w:rsid w:val="001F578F"/>
    <w:rsid w:val="003C5056"/>
    <w:rsid w:val="00404812"/>
    <w:rsid w:val="004E23CD"/>
    <w:rsid w:val="006B7F91"/>
    <w:rsid w:val="00714A24"/>
    <w:rsid w:val="00886BAA"/>
    <w:rsid w:val="00934D13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7B0D"/>
  <w15:chartTrackingRefBased/>
  <w15:docId w15:val="{757B2BE0-623D-4DE6-8BF7-D151C19B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4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D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D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D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D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D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D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D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34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D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D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D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D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D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D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D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D13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D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D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D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D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D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D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2026-07-22T13:14:00Z</dcterms:created>
  <dcterms:modified xsi:type="dcterms:W3CDTF">2026-07-30T07:33:00Z</dcterms:modified>
</cp:coreProperties>
</file>