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0CEA" w14:textId="77777777" w:rsidR="00B839C7" w:rsidRPr="00CF3AAD" w:rsidRDefault="00B839C7" w:rsidP="00B839C7">
      <w:pPr>
        <w:spacing w:after="0" w:line="360" w:lineRule="auto"/>
        <w:ind w:left="0" w:right="0" w:hanging="142"/>
        <w:jc w:val="center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Pytania z zakresu prawa karnego oraz postępowania karnego</w:t>
      </w:r>
    </w:p>
    <w:p w14:paraId="75FE6D82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CBC01C6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Jeżeli czyn wyczerpuje znamiona określone w dwóch albo więcej przepisach ustawy karnej:</w:t>
      </w:r>
    </w:p>
    <w:p w14:paraId="139CD1FD" w14:textId="77777777" w:rsidR="00B839C7" w:rsidRPr="00CF3AAD" w:rsidRDefault="00B839C7" w:rsidP="00B839C7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sąd skazuje oskarżonego za każde z przestępstw, ale wykonaniu podlega tylko kara najsurowsza;</w:t>
      </w:r>
    </w:p>
    <w:p w14:paraId="02308E36" w14:textId="77777777" w:rsidR="00B839C7" w:rsidRPr="00CF3AAD" w:rsidRDefault="00B839C7" w:rsidP="00B839C7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sąd skazuje za jedno przestępstwo na podstawie wszystkich zbiegających się prze</w:t>
      </w:r>
      <w:r w:rsidRPr="00CF3AAD">
        <w:rPr>
          <w:rFonts w:eastAsia="Calibri" w:cs="Times New Roman"/>
          <w:kern w:val="0"/>
          <w14:ligatures w14:val="none"/>
        </w:rPr>
        <w:softHyphen/>
        <w:t>pisów;</w:t>
      </w:r>
    </w:p>
    <w:p w14:paraId="1BCC630B" w14:textId="77777777" w:rsidR="00B839C7" w:rsidRPr="00CF3AAD" w:rsidRDefault="00B839C7" w:rsidP="00B839C7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sąd wymierza karę z nadzwyczajnym obostrzeniem.</w:t>
      </w:r>
    </w:p>
    <w:p w14:paraId="0B006409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90A58E1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Czyn zabroniony zagrożony grzywną powyżej 30 stawek dziennych albo powyżej 5000 złotych, karą ograniczenia wolności przekraczającą miesiąc albo karą pozba</w:t>
      </w:r>
      <w:r w:rsidRPr="00CF3AAD">
        <w:rPr>
          <w:rFonts w:eastAsia="Calibri" w:cs="Times New Roman"/>
          <w:kern w:val="0"/>
          <w14:ligatures w14:val="none"/>
        </w:rPr>
        <w:softHyphen/>
        <w:t>wienia wolności przekraczającą miesiąc jest:</w:t>
      </w:r>
    </w:p>
    <w:p w14:paraId="0D007EA4" w14:textId="77777777" w:rsidR="00B839C7" w:rsidRPr="00CF3AAD" w:rsidRDefault="00B839C7" w:rsidP="00B839C7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wykroczeniem;</w:t>
      </w:r>
    </w:p>
    <w:p w14:paraId="67071751" w14:textId="77777777" w:rsidR="00B839C7" w:rsidRPr="00CF3AAD" w:rsidRDefault="00B839C7" w:rsidP="00B839C7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przestępstwem;</w:t>
      </w:r>
    </w:p>
    <w:p w14:paraId="1616720B" w14:textId="77777777" w:rsidR="00B839C7" w:rsidRPr="00CF3AAD" w:rsidRDefault="00B839C7" w:rsidP="00B839C7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tzw. czynem przepołowionym (w zależności od wartości mienia).</w:t>
      </w:r>
    </w:p>
    <w:p w14:paraId="7621CDE2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9E458A8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Kara ograniczenia wolności nie może polegać na:</w:t>
      </w:r>
    </w:p>
    <w:p w14:paraId="1829DAC2" w14:textId="77777777" w:rsidR="00B839C7" w:rsidRPr="00CF3AAD" w:rsidRDefault="00B839C7" w:rsidP="00B839C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obowiązku wykonywania nieodpłatnej, kontrolowanej pracy na cele społeczne;</w:t>
      </w:r>
    </w:p>
    <w:p w14:paraId="18BA0105" w14:textId="77777777" w:rsidR="00B839C7" w:rsidRPr="00CF3AAD" w:rsidRDefault="00B839C7" w:rsidP="00B839C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obowiązku pozostawania w miejscu stałego pobytu lub w innym wyznaczonym miej</w:t>
      </w:r>
      <w:r w:rsidRPr="00CF3AAD">
        <w:rPr>
          <w:rFonts w:eastAsia="Calibri" w:cs="Times New Roman"/>
          <w:kern w:val="0"/>
          <w14:ligatures w14:val="none"/>
        </w:rPr>
        <w:softHyphen/>
        <w:t>scu, z zastosowaniem systemu dozoru elektronicznego;</w:t>
      </w:r>
    </w:p>
    <w:p w14:paraId="32C5EDAA" w14:textId="77777777" w:rsidR="00B839C7" w:rsidRPr="00CF3AAD" w:rsidRDefault="00B839C7" w:rsidP="00B839C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potrąceniu od 10% do 25% wynagrodzenia za pracę w stosunku miesięcznym na cel społeczny wskazany przez sąd.</w:t>
      </w:r>
    </w:p>
    <w:p w14:paraId="6E3B6C38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8B39BE6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 xml:space="preserve">Proszę wybrać wyliczenie prawdziwe - </w:t>
      </w:r>
      <w:r w:rsidRPr="00CF3AAD">
        <w:rPr>
          <w:rFonts w:eastAsia="Calibri" w:cs="Times New Roman"/>
          <w:i/>
          <w:kern w:val="0"/>
          <w14:ligatures w14:val="none"/>
        </w:rPr>
        <w:t>Środkami karnymi są:</w:t>
      </w:r>
    </w:p>
    <w:p w14:paraId="1D70B4A0" w14:textId="77777777" w:rsidR="00B839C7" w:rsidRPr="00CF3AAD" w:rsidRDefault="00B839C7" w:rsidP="00B839C7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i/>
          <w:kern w:val="0"/>
          <w14:ligatures w14:val="none"/>
        </w:rPr>
        <w:t>pozbawienie praw publicznych, zakaz wstępu na imprezę masową, nakaz okresowego opuszczenia lokalu zajmowanego wspólnie z pokrzywdzonym</w:t>
      </w:r>
      <w:r w:rsidRPr="00CF3AAD">
        <w:rPr>
          <w:rFonts w:eastAsia="Calibri" w:cs="Times New Roman"/>
          <w:kern w:val="0"/>
          <w14:ligatures w14:val="none"/>
        </w:rPr>
        <w:t>;</w:t>
      </w:r>
    </w:p>
    <w:p w14:paraId="07CE3186" w14:textId="77777777" w:rsidR="00B839C7" w:rsidRPr="00CF3AAD" w:rsidRDefault="00B839C7" w:rsidP="00B839C7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i/>
          <w:kern w:val="0"/>
          <w14:ligatures w14:val="none"/>
        </w:rPr>
        <w:t>pozbawienia praw publicznych, pobyt w zakładzie psychiatrycznym, zakaz prowa</w:t>
      </w:r>
      <w:r w:rsidRPr="00CF3AAD">
        <w:rPr>
          <w:rFonts w:eastAsia="Calibri" w:cs="Times New Roman"/>
          <w:i/>
          <w:kern w:val="0"/>
          <w14:ligatures w14:val="none"/>
        </w:rPr>
        <w:softHyphen/>
        <w:t>dzenia pojazdów</w:t>
      </w:r>
      <w:r w:rsidRPr="00CF3AAD">
        <w:rPr>
          <w:rFonts w:eastAsia="Calibri" w:cs="Times New Roman"/>
          <w:kern w:val="0"/>
          <w14:ligatures w14:val="none"/>
        </w:rPr>
        <w:t>;</w:t>
      </w:r>
    </w:p>
    <w:p w14:paraId="0C4E9B87" w14:textId="77777777" w:rsidR="00B839C7" w:rsidRPr="00CF3AAD" w:rsidRDefault="00B839C7" w:rsidP="00B839C7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i/>
          <w:kern w:val="0"/>
          <w14:ligatures w14:val="none"/>
        </w:rPr>
        <w:t>elektroniczna kontrola miejsca pobytu, świadczenie pieniężne, zakaz zajmowania ok</w:t>
      </w:r>
      <w:r w:rsidRPr="00CF3AAD">
        <w:rPr>
          <w:rFonts w:eastAsia="Calibri" w:cs="Times New Roman"/>
          <w:i/>
          <w:kern w:val="0"/>
          <w14:ligatures w14:val="none"/>
        </w:rPr>
        <w:softHyphen/>
        <w:t>reślonego stanowiska</w:t>
      </w:r>
      <w:r w:rsidRPr="00CF3AAD">
        <w:rPr>
          <w:rFonts w:eastAsia="Calibri" w:cs="Times New Roman"/>
          <w:kern w:val="0"/>
          <w14:ligatures w14:val="none"/>
        </w:rPr>
        <w:t>.</w:t>
      </w:r>
    </w:p>
    <w:p w14:paraId="3EB14636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1DF59FD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W przypadku skazania za występek o charakterze chuligańskim (definiowany w art. 115 § 21 kk):</w:t>
      </w:r>
    </w:p>
    <w:p w14:paraId="608C069D" w14:textId="77777777" w:rsidR="00B839C7" w:rsidRPr="00CF3AAD" w:rsidRDefault="00B839C7" w:rsidP="00B839C7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lastRenderedPageBreak/>
        <w:t>sąd zawsze orzeka środek karny podania wyroku do publicznej wiadomości;</w:t>
      </w:r>
    </w:p>
    <w:p w14:paraId="76E6AEB7" w14:textId="77777777" w:rsidR="00B839C7" w:rsidRPr="00CF3AAD" w:rsidRDefault="00B839C7" w:rsidP="00B839C7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 xml:space="preserve">sąd wymierza karę przewidzianą za przypisane sprawcy przestępstwo w wysokości nie niższej od dolnej granicy ustawowego zagrożenia zwiększonego o połowę; </w:t>
      </w:r>
    </w:p>
    <w:p w14:paraId="0AC9A216" w14:textId="77777777" w:rsidR="00B839C7" w:rsidRPr="00CF3AAD" w:rsidRDefault="00B839C7" w:rsidP="00B839C7">
      <w:pPr>
        <w:numPr>
          <w:ilvl w:val="0"/>
          <w:numId w:val="1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sąd wymierza karę przewidzianą za przypisane sprawcy przestępstwo w wysokości powyżej dolnej granicy ustawowego, a może ją wymierzyć do podwójnej wysokości górnej granicy ustawowego zagrożenia.</w:t>
      </w:r>
    </w:p>
    <w:p w14:paraId="745BE65A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4A10C07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Po odbyciu dopiero trzech czwartych kary pozbawienia wolności warunkowo przed</w:t>
      </w:r>
      <w:r w:rsidRPr="00CF3AAD">
        <w:rPr>
          <w:rFonts w:eastAsia="Calibri" w:cs="Times New Roman"/>
          <w:kern w:val="0"/>
          <w14:ligatures w14:val="none"/>
        </w:rPr>
        <w:softHyphen/>
        <w:t xml:space="preserve">terminowo zwolnić można z jej odbycia: </w:t>
      </w:r>
    </w:p>
    <w:p w14:paraId="31570970" w14:textId="77777777" w:rsidR="00B839C7" w:rsidRPr="00CF3AAD" w:rsidRDefault="00B839C7" w:rsidP="00B839C7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skazanego na karę dożywotniego pozbawienia wolności;</w:t>
      </w:r>
    </w:p>
    <w:p w14:paraId="7311DD8F" w14:textId="77777777" w:rsidR="00B839C7" w:rsidRPr="00CF3AAD" w:rsidRDefault="00B839C7" w:rsidP="00B839C7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każdego skazanego;</w:t>
      </w:r>
    </w:p>
    <w:p w14:paraId="0F6DA8EB" w14:textId="77777777" w:rsidR="00B839C7" w:rsidRPr="00CF3AAD" w:rsidRDefault="00B839C7" w:rsidP="00B839C7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skazanego, wobec którego wydano prawomocne postanowienie stwierdzające, że bezprawnie utrudniał wykonanie kary pozbawienia wolności.</w:t>
      </w:r>
    </w:p>
    <w:p w14:paraId="7CF5FD7C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40A6E25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 xml:space="preserve">Art. 190a § 1 kodeksu karnego stanowi: </w:t>
      </w:r>
      <w:r w:rsidRPr="00CF3AAD">
        <w:rPr>
          <w:rFonts w:eastAsia="Calibri" w:cs="Times New Roman"/>
          <w:i/>
          <w:kern w:val="0"/>
          <w14:ligatures w14:val="none"/>
        </w:rPr>
        <w:t>Kto przez uporczywe nękanie innej osoby lub osoby jej najbliższej wzbudza u niej uzasadnione okolicznościami poczucie zagrożenia, poniżenia lub udręczenia lub istotnie narusza jej prywatność, podlega karze pozbawie</w:t>
      </w:r>
      <w:r w:rsidRPr="00CF3AAD">
        <w:rPr>
          <w:rFonts w:eastAsia="Calibri" w:cs="Times New Roman"/>
          <w:i/>
          <w:kern w:val="0"/>
          <w14:ligatures w14:val="none"/>
        </w:rPr>
        <w:softHyphen/>
        <w:t>nia wolności od 6 miesięcy do lat 8</w:t>
      </w:r>
      <w:r w:rsidRPr="00CF3AAD">
        <w:rPr>
          <w:rFonts w:eastAsia="Calibri" w:cs="Times New Roman"/>
          <w:kern w:val="0"/>
          <w14:ligatures w14:val="none"/>
        </w:rPr>
        <w:t>. Przestępstwo to określane jest w piśmiennictwie jako:</w:t>
      </w:r>
    </w:p>
    <w:p w14:paraId="1F302ABB" w14:textId="77777777" w:rsidR="00B839C7" w:rsidRPr="00CF3AAD" w:rsidRDefault="00B839C7" w:rsidP="00B839C7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naruszenie miru domowego;</w:t>
      </w:r>
    </w:p>
    <w:p w14:paraId="15E3FEA2" w14:textId="77777777" w:rsidR="00B839C7" w:rsidRPr="00CF3AAD" w:rsidRDefault="00B839C7" w:rsidP="00B839C7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naruszenie nietykalności cielesnej;</w:t>
      </w:r>
    </w:p>
    <w:p w14:paraId="66AC5741" w14:textId="77777777" w:rsidR="00B839C7" w:rsidRPr="00CF3AAD" w:rsidRDefault="00B839C7" w:rsidP="00B839C7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stalking.</w:t>
      </w:r>
    </w:p>
    <w:p w14:paraId="7C9C409C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167A560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Zgodnie z kodeksem karnym odpowiedzialność za przestępstwo poniesie osoba, któ</w:t>
      </w:r>
      <w:r w:rsidRPr="00CF3AAD">
        <w:rPr>
          <w:rFonts w:eastAsia="Calibri" w:cs="Times New Roman"/>
          <w:kern w:val="0"/>
          <w14:ligatures w14:val="none"/>
        </w:rPr>
        <w:softHyphen/>
        <w:t>ra:</w:t>
      </w:r>
    </w:p>
    <w:p w14:paraId="503FFB5D" w14:textId="77777777" w:rsidR="00B839C7" w:rsidRPr="00CF3AAD" w:rsidRDefault="00B839C7" w:rsidP="00B839C7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nakłania inną osobę do uprawiania prostytucji;</w:t>
      </w:r>
    </w:p>
    <w:p w14:paraId="419AEE0F" w14:textId="77777777" w:rsidR="00B839C7" w:rsidRPr="00CF3AAD" w:rsidRDefault="00B839C7" w:rsidP="00B839C7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uprawia prostytucję;</w:t>
      </w:r>
    </w:p>
    <w:p w14:paraId="6FAB9607" w14:textId="77777777" w:rsidR="00B839C7" w:rsidRPr="00CF3AAD" w:rsidRDefault="00B839C7" w:rsidP="00B839C7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korzysta z usług osoby uprawiającej prostytucję.</w:t>
      </w:r>
    </w:p>
    <w:p w14:paraId="24A78FEB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B48EA22" w14:textId="77777777" w:rsidR="00B839C7" w:rsidRPr="00CF3AAD" w:rsidRDefault="00B839C7" w:rsidP="00B839C7">
      <w:pPr>
        <w:keepNext/>
        <w:numPr>
          <w:ilvl w:val="0"/>
          <w:numId w:val="9"/>
        </w:numPr>
        <w:spacing w:after="0" w:line="360" w:lineRule="auto"/>
        <w:ind w:left="425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Sprawca dopuszcza się kradzieży rozbójniczej, gdy:</w:t>
      </w:r>
    </w:p>
    <w:p w14:paraId="474B0A4B" w14:textId="77777777" w:rsidR="00B839C7" w:rsidRPr="00CF3AAD" w:rsidRDefault="00B839C7" w:rsidP="00B839C7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doprowadza inną osobę do niekorzystnego rozporządzenia własnym lub cudzym mieniem za pomocą wprowadzenia jej w błąd albo wyzyskania błędu lub niezdol</w:t>
      </w:r>
      <w:r w:rsidRPr="00CF3AAD">
        <w:rPr>
          <w:rFonts w:eastAsia="Calibri" w:cs="Times New Roman"/>
          <w:kern w:val="0"/>
          <w14:ligatures w14:val="none"/>
        </w:rPr>
        <w:softHyphen/>
        <w:t>ności do należytego pojmowania przedsiębranego działania;</w:t>
      </w:r>
    </w:p>
    <w:p w14:paraId="24D6C753" w14:textId="77777777" w:rsidR="00B839C7" w:rsidRPr="00CF3AAD" w:rsidRDefault="00B839C7" w:rsidP="00B839C7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celu utrzymania się w posiadaniu zabranej rzeczy, bezpośrednio po dokonaniu kra</w:t>
      </w:r>
      <w:r w:rsidRPr="00CF3AAD">
        <w:rPr>
          <w:rFonts w:eastAsia="Calibri" w:cs="Times New Roman"/>
          <w:kern w:val="0"/>
          <w14:ligatures w14:val="none"/>
        </w:rPr>
        <w:softHyphen/>
        <w:t>dzieży, używa przemocy wobec osoby lub grozi natychmiastowym jej użyciem albo doprowadza człowieka do stanu nieprzytomności lub bezbronności</w:t>
      </w:r>
    </w:p>
    <w:p w14:paraId="5EA97A17" w14:textId="77777777" w:rsidR="00B839C7" w:rsidRPr="00CF3AAD" w:rsidRDefault="00B839C7" w:rsidP="00B839C7">
      <w:pPr>
        <w:numPr>
          <w:ilvl w:val="0"/>
          <w:numId w:val="19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lastRenderedPageBreak/>
        <w:t>dokonuje zaboru rzeczy używając przemocy wobec osoby lub grożąc natychmiasto</w:t>
      </w:r>
      <w:r w:rsidRPr="00CF3AAD">
        <w:rPr>
          <w:rFonts w:eastAsia="Calibri" w:cs="Times New Roman"/>
          <w:kern w:val="0"/>
          <w14:ligatures w14:val="none"/>
        </w:rPr>
        <w:softHyphen/>
        <w:t>wym jej użyciem albo doprowadzając człowieka do stanu nieprzytomności lub bez</w:t>
      </w:r>
      <w:r w:rsidRPr="00CF3AAD">
        <w:rPr>
          <w:rFonts w:eastAsia="Calibri" w:cs="Times New Roman"/>
          <w:kern w:val="0"/>
          <w14:ligatures w14:val="none"/>
        </w:rPr>
        <w:softHyphen/>
        <w:t>bronności.</w:t>
      </w:r>
    </w:p>
    <w:p w14:paraId="26BDB460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6BD8F8E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i/>
          <w:kern w:val="0"/>
          <w14:ligatures w14:val="none"/>
        </w:rPr>
        <w:t>Organ powołany do ścigania przestępstw jest obowiązany do wszczęcia i przeprowa</w:t>
      </w:r>
      <w:r w:rsidRPr="00CF3AAD">
        <w:rPr>
          <w:rFonts w:eastAsia="Calibri" w:cs="Times New Roman"/>
          <w:i/>
          <w:kern w:val="0"/>
          <w14:ligatures w14:val="none"/>
        </w:rPr>
        <w:softHyphen/>
        <w:t>dzenia postępowania przygotowawczego, a oskarżyciel publiczny także do wniesienia i popierania oskarżenia - o czyn ścigany z urzędu</w:t>
      </w:r>
      <w:r w:rsidRPr="00CF3AAD">
        <w:rPr>
          <w:rFonts w:eastAsia="Calibri" w:cs="Times New Roman"/>
          <w:kern w:val="0"/>
          <w14:ligatures w14:val="none"/>
        </w:rPr>
        <w:t>. W ten sposób skodyfikowana zos</w:t>
      </w:r>
      <w:r w:rsidRPr="00CF3AAD">
        <w:rPr>
          <w:rFonts w:eastAsia="Calibri" w:cs="Times New Roman"/>
          <w:kern w:val="0"/>
          <w14:ligatures w14:val="none"/>
        </w:rPr>
        <w:softHyphen/>
        <w:t>tała zasada:</w:t>
      </w:r>
    </w:p>
    <w:p w14:paraId="41391BC5" w14:textId="77777777" w:rsidR="00B839C7" w:rsidRPr="00CF3AAD" w:rsidRDefault="00B839C7" w:rsidP="00B839C7">
      <w:pPr>
        <w:numPr>
          <w:ilvl w:val="0"/>
          <w:numId w:val="1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oportunizmu;</w:t>
      </w:r>
    </w:p>
    <w:p w14:paraId="46EB1E98" w14:textId="77777777" w:rsidR="00B839C7" w:rsidRPr="00CF3AAD" w:rsidRDefault="00B839C7" w:rsidP="00B839C7">
      <w:pPr>
        <w:numPr>
          <w:ilvl w:val="0"/>
          <w:numId w:val="1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legalizmu;</w:t>
      </w:r>
    </w:p>
    <w:p w14:paraId="450198BE" w14:textId="77777777" w:rsidR="00B839C7" w:rsidRPr="00CF3AAD" w:rsidRDefault="00B839C7" w:rsidP="00B839C7">
      <w:pPr>
        <w:numPr>
          <w:ilvl w:val="0"/>
          <w:numId w:val="1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skargowości.</w:t>
      </w:r>
    </w:p>
    <w:p w14:paraId="694D7D99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CD848D9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Sąd apelacyjny, na wniosek sądu rejonowego, może przekazać do rozpoznania sądo</w:t>
      </w:r>
      <w:r w:rsidRPr="00CF3AAD">
        <w:rPr>
          <w:rFonts w:eastAsia="Calibri" w:cs="Times New Roman"/>
          <w:kern w:val="0"/>
          <w14:ligatures w14:val="none"/>
        </w:rPr>
        <w:softHyphen/>
        <w:t>wi okręgowemu, jako sądowi pierwszej instancji, sprawę o każde przestępstwo:</w:t>
      </w:r>
    </w:p>
    <w:p w14:paraId="706F86BE" w14:textId="77777777" w:rsidR="00B839C7" w:rsidRPr="00CF3AAD" w:rsidRDefault="00B839C7" w:rsidP="00B839C7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jeżeli wymaga tego dobro wymiaru sprawiedliwości;</w:t>
      </w:r>
    </w:p>
    <w:p w14:paraId="01912608" w14:textId="77777777" w:rsidR="00B839C7" w:rsidRPr="00CF3AAD" w:rsidRDefault="00B839C7" w:rsidP="00B839C7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jeżeli większość osób, które należy wezwać na rozprawę, zamieszkuje blisko tego sądu, a z dala od sądu właściwego;</w:t>
      </w:r>
    </w:p>
    <w:p w14:paraId="386CAFE3" w14:textId="77777777" w:rsidR="00B839C7" w:rsidRPr="00CF3AAD" w:rsidRDefault="00B839C7" w:rsidP="00B839C7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ze względu na szczególną wagę lub zawiłość sprawy.</w:t>
      </w:r>
    </w:p>
    <w:p w14:paraId="3CA46D09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AF7C1D9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Tymczasowe</w:t>
      </w:r>
      <w:r w:rsidRPr="00CF3AAD">
        <w:rPr>
          <w:rFonts w:eastAsia="Times New Roman" w:cs="Times New Roman"/>
          <w:kern w:val="0"/>
          <w:lang w:eastAsia="pl-PL"/>
          <w14:ligatures w14:val="none"/>
        </w:rPr>
        <w:t xml:space="preserve"> aresztowanie podejrzanego może nastąpić:</w:t>
      </w:r>
    </w:p>
    <w:p w14:paraId="5DD4518F" w14:textId="77777777" w:rsidR="00B839C7" w:rsidRPr="00CF3AAD" w:rsidRDefault="00B839C7" w:rsidP="00B839C7">
      <w:pPr>
        <w:numPr>
          <w:ilvl w:val="0"/>
          <w:numId w:val="6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tylko na mocy postanowienia sądu;</w:t>
      </w:r>
    </w:p>
    <w:p w14:paraId="3549CFD7" w14:textId="77777777" w:rsidR="00B839C7" w:rsidRPr="00CF3AAD" w:rsidRDefault="00B839C7" w:rsidP="00B839C7">
      <w:pPr>
        <w:numPr>
          <w:ilvl w:val="0"/>
          <w:numId w:val="6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na mocy postanowienia sądu, a w przypadkach niecierpiących zwłoki – także na mocy postanowienia prokuratora;</w:t>
      </w:r>
    </w:p>
    <w:p w14:paraId="6BB72C5E" w14:textId="77777777" w:rsidR="00B839C7" w:rsidRPr="00CF3AAD" w:rsidRDefault="00B839C7" w:rsidP="00B839C7">
      <w:pPr>
        <w:numPr>
          <w:ilvl w:val="0"/>
          <w:numId w:val="6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na mocy postanowienia niezawisłego sędziego śledczego ustanowionego przy proku</w:t>
      </w:r>
      <w:r w:rsidRPr="00CF3AAD">
        <w:rPr>
          <w:rFonts w:eastAsia="Times New Roman" w:cs="Times New Roman"/>
          <w:kern w:val="0"/>
          <w:lang w:eastAsia="pl-PL"/>
          <w14:ligatures w14:val="none"/>
        </w:rPr>
        <w:softHyphen/>
        <w:t>raturze prowadzącej postępowanie.</w:t>
      </w:r>
    </w:p>
    <w:p w14:paraId="6D2DF401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6F6ACE6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053A1A4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List żelazny to:</w:t>
      </w:r>
    </w:p>
    <w:p w14:paraId="736CB8E3" w14:textId="77777777" w:rsidR="00B839C7" w:rsidRPr="00CF3AAD" w:rsidRDefault="00B839C7" w:rsidP="00B839C7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poręczenie osoby godnej zaufania, że oskarżony stawi się na każde wezwanie i nie będzie w sposób bezprawny utrudniał postępowania;</w:t>
      </w:r>
    </w:p>
    <w:p w14:paraId="2CFDD207" w14:textId="77777777" w:rsidR="00B839C7" w:rsidRPr="00CF3AAD" w:rsidRDefault="00B839C7" w:rsidP="00B839C7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instytucja znana poprzednim kodyfikacjom procesowym, która nie została – ze względu na archaiczność – recypowana do kodeksu postępowania karnego z 1997 roku;</w:t>
      </w:r>
    </w:p>
    <w:p w14:paraId="206F303C" w14:textId="77777777" w:rsidR="00B839C7" w:rsidRPr="00CF3AAD" w:rsidRDefault="00B839C7" w:rsidP="00B839C7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lastRenderedPageBreak/>
        <w:t>orzeczenie sądu zapewniające oskarżonemu pozostawanie na wolności aż do prawo</w:t>
      </w:r>
      <w:r w:rsidRPr="00CF3AAD">
        <w:rPr>
          <w:rFonts w:eastAsia="Times New Roman" w:cs="Times New Roman"/>
          <w:kern w:val="0"/>
          <w:lang w:eastAsia="pl-PL"/>
          <w14:ligatures w14:val="none"/>
        </w:rPr>
        <w:softHyphen/>
        <w:t>mocnego ukończenia postępowania pod określonymi warunkami, poprzedzone jego oświadczeniem, że stawi się do sądu lub do prokuratora w oznaczonym terminie pod warunkiem odpowiadania z wolnej stopy.</w:t>
      </w:r>
    </w:p>
    <w:p w14:paraId="649A3188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A6B100B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 xml:space="preserve">Zgodnie z art. 387 </w:t>
      </w:r>
      <w:proofErr w:type="spellStart"/>
      <w:r w:rsidRPr="00CF3AAD">
        <w:rPr>
          <w:rFonts w:eastAsia="Calibri" w:cs="Times New Roman"/>
          <w:kern w:val="0"/>
          <w14:ligatures w14:val="none"/>
        </w:rPr>
        <w:t>kpk</w:t>
      </w:r>
      <w:proofErr w:type="spellEnd"/>
      <w:r w:rsidRPr="00CF3AAD">
        <w:rPr>
          <w:rFonts w:eastAsia="Calibri" w:cs="Times New Roman"/>
          <w:kern w:val="0"/>
          <w14:ligatures w14:val="none"/>
        </w:rPr>
        <w:t xml:space="preserve"> (tzw. dobrowolne poddanie się karze) sąd może uwzględnić wniosek oskarżonego o wydanie wyroku skazującego i wymierzenie mu określonej kary lub środka karnego, jeżeli:</w:t>
      </w:r>
    </w:p>
    <w:p w14:paraId="48531D1C" w14:textId="77777777" w:rsidR="00B839C7" w:rsidRPr="00CF3AAD" w:rsidRDefault="00B839C7" w:rsidP="00B839C7">
      <w:pPr>
        <w:numPr>
          <w:ilvl w:val="0"/>
          <w:numId w:val="21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wyrazili na to zgodę pokrzywdzony i prokurator;</w:t>
      </w:r>
    </w:p>
    <w:p w14:paraId="37908DF8" w14:textId="77777777" w:rsidR="00B839C7" w:rsidRPr="00CF3AAD" w:rsidRDefault="00B839C7" w:rsidP="00B839C7">
      <w:pPr>
        <w:numPr>
          <w:ilvl w:val="0"/>
          <w:numId w:val="21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gdy nie sprzeciwia się temu prokurator, a także pokrzywdzony należycie powiado</w:t>
      </w:r>
      <w:r w:rsidRPr="00CF3AAD">
        <w:rPr>
          <w:rFonts w:eastAsia="Times New Roman" w:cs="Times New Roman"/>
          <w:kern w:val="0"/>
          <w:lang w:eastAsia="pl-PL"/>
          <w14:ligatures w14:val="none"/>
        </w:rPr>
        <w:softHyphen/>
        <w:t>miony o terminie rozprawy oraz pouczony o możliwości zgłoszenia przez oskarżone</w:t>
      </w:r>
      <w:r w:rsidRPr="00CF3AAD">
        <w:rPr>
          <w:rFonts w:eastAsia="Times New Roman" w:cs="Times New Roman"/>
          <w:kern w:val="0"/>
          <w:lang w:eastAsia="pl-PL"/>
          <w14:ligatures w14:val="none"/>
        </w:rPr>
        <w:softHyphen/>
        <w:t>go takiego wniosku;</w:t>
      </w:r>
    </w:p>
    <w:p w14:paraId="3FA331EB" w14:textId="77777777" w:rsidR="00B839C7" w:rsidRPr="00CF3AAD" w:rsidRDefault="00B839C7" w:rsidP="00B839C7">
      <w:pPr>
        <w:numPr>
          <w:ilvl w:val="0"/>
          <w:numId w:val="21"/>
        </w:numPr>
        <w:spacing w:after="0" w:line="360" w:lineRule="auto"/>
        <w:ind w:right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gdy wyraża na to zgodę prokurator, a pokrzywdzony należycie powiadomiony o ter</w:t>
      </w:r>
      <w:r w:rsidRPr="00CF3AAD">
        <w:rPr>
          <w:rFonts w:eastAsia="Times New Roman" w:cs="Times New Roman"/>
          <w:kern w:val="0"/>
          <w:lang w:eastAsia="pl-PL"/>
          <w14:ligatures w14:val="none"/>
        </w:rPr>
        <w:softHyphen/>
        <w:t>minie rozprawy oraz pouczony o możliwości zgłoszenia przez oskarżonego takiego wniosku nie zgłosił sprzeciwu.</w:t>
      </w:r>
    </w:p>
    <w:p w14:paraId="72BEE181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FDE099A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Sąd rozpoznający sprawę po wniesieniu sprzeciwu od wyroku nakazowego:</w:t>
      </w:r>
    </w:p>
    <w:p w14:paraId="2423169D" w14:textId="77777777" w:rsidR="00B839C7" w:rsidRPr="00CF3AAD" w:rsidRDefault="00B839C7" w:rsidP="00B839C7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nie może wymierzyć kary surowszego rodzaju;</w:t>
      </w:r>
    </w:p>
    <w:p w14:paraId="71274B51" w14:textId="77777777" w:rsidR="00B839C7" w:rsidRPr="00CF3AAD" w:rsidRDefault="00B839C7" w:rsidP="00B839C7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nie jest związany treścią wyroku nakazowego;</w:t>
      </w:r>
    </w:p>
    <w:p w14:paraId="0B814ACE" w14:textId="77777777" w:rsidR="00B839C7" w:rsidRPr="00CF3AAD" w:rsidRDefault="00B839C7" w:rsidP="00B839C7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może wymierzyć karę surowszego rodzaju tylko w sytuacji, jeżeli sprzeciw złożył prokurator.</w:t>
      </w:r>
    </w:p>
    <w:p w14:paraId="7A1F755C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3E630ED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Środek odwoławczy (apelacja lub zażalenie) został wniesiony po terminie. Wówczas prezes sądu pierwszej instancji taki środek odwoławczy:</w:t>
      </w:r>
    </w:p>
    <w:p w14:paraId="50EFBA28" w14:textId="77777777" w:rsidR="00B839C7" w:rsidRPr="00CF3AAD" w:rsidRDefault="00B839C7" w:rsidP="00B839C7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pozostawi bez rozpoznania;</w:t>
      </w:r>
    </w:p>
    <w:p w14:paraId="17C56401" w14:textId="77777777" w:rsidR="00B839C7" w:rsidRPr="00CF3AAD" w:rsidRDefault="00B839C7" w:rsidP="00B839C7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oddali;</w:t>
      </w:r>
    </w:p>
    <w:p w14:paraId="0A9A3B2E" w14:textId="77777777" w:rsidR="00B839C7" w:rsidRPr="00CF3AAD" w:rsidRDefault="00B839C7" w:rsidP="00B839C7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odmówi jego przyjęcia.</w:t>
      </w:r>
    </w:p>
    <w:p w14:paraId="59DD0BC2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018E639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644DCE5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 xml:space="preserve">Sąd I instancji skazał oskarżonego za czyn z art. 129 kk (zdrada dyplomatyczna: </w:t>
      </w:r>
      <w:r w:rsidRPr="00CF3AAD">
        <w:rPr>
          <w:rFonts w:eastAsia="Calibri" w:cs="Times New Roman"/>
          <w:i/>
          <w:kern w:val="0"/>
          <w14:ligatures w14:val="none"/>
        </w:rPr>
        <w:t>kto, będąc upoważniony do występowania w imieniu Rzeczypospolitej Polskiej w sto</w:t>
      </w:r>
      <w:r w:rsidRPr="00CF3AAD">
        <w:rPr>
          <w:rFonts w:eastAsia="Calibri" w:cs="Times New Roman"/>
          <w:i/>
          <w:kern w:val="0"/>
          <w14:ligatures w14:val="none"/>
        </w:rPr>
        <w:softHyphen/>
        <w:t>sunkach z rządem obcego państwa lub zagraniczną organizacją, działa na szkodę Rze</w:t>
      </w:r>
      <w:r w:rsidRPr="00CF3AAD">
        <w:rPr>
          <w:rFonts w:eastAsia="Calibri" w:cs="Times New Roman"/>
          <w:i/>
          <w:kern w:val="0"/>
          <w14:ligatures w14:val="none"/>
        </w:rPr>
        <w:softHyphen/>
        <w:t>czypospolitej Polskiej podlega karze pozbawienia wolności od roku do lat 10</w:t>
      </w:r>
      <w:r w:rsidRPr="00CF3AAD">
        <w:rPr>
          <w:rFonts w:eastAsia="Calibri" w:cs="Times New Roman"/>
          <w:kern w:val="0"/>
          <w14:ligatures w14:val="none"/>
        </w:rPr>
        <w:t>). Oskar</w:t>
      </w:r>
      <w:r w:rsidRPr="00CF3AAD">
        <w:rPr>
          <w:rFonts w:eastAsia="Calibri" w:cs="Times New Roman"/>
          <w:kern w:val="0"/>
          <w14:ligatures w14:val="none"/>
        </w:rPr>
        <w:softHyphen/>
        <w:t>żonemu wymierzono karę 2 lat pozbawienia wolności, jak też środek karny pozba</w:t>
      </w:r>
      <w:r w:rsidRPr="00CF3AAD">
        <w:rPr>
          <w:rFonts w:eastAsia="Calibri" w:cs="Times New Roman"/>
          <w:kern w:val="0"/>
          <w14:ligatures w14:val="none"/>
        </w:rPr>
        <w:softHyphen/>
        <w:t xml:space="preserve">wienia </w:t>
      </w:r>
      <w:r w:rsidRPr="00CF3AAD">
        <w:rPr>
          <w:rFonts w:eastAsia="Calibri" w:cs="Times New Roman"/>
          <w:kern w:val="0"/>
          <w14:ligatures w14:val="none"/>
        </w:rPr>
        <w:lastRenderedPageBreak/>
        <w:t>obywatelstwa polskiego na okres 11 lat. Prokurator zaskarżył wyrok zarzu</w:t>
      </w:r>
      <w:r w:rsidRPr="00CF3AAD">
        <w:rPr>
          <w:rFonts w:eastAsia="Calibri" w:cs="Times New Roman"/>
          <w:kern w:val="0"/>
          <w14:ligatures w14:val="none"/>
        </w:rPr>
        <w:softHyphen/>
        <w:t>cając rażącą łagodność kary (domaga się zmiany wyroku w tym zakresie i wymie</w:t>
      </w:r>
      <w:r w:rsidRPr="00CF3AAD">
        <w:rPr>
          <w:rFonts w:eastAsia="Calibri" w:cs="Times New Roman"/>
          <w:kern w:val="0"/>
          <w14:ligatures w14:val="none"/>
        </w:rPr>
        <w:softHyphen/>
        <w:t>rzenia kary 9 lat pozbawienia wolności). W opisanej sytuacji:</w:t>
      </w:r>
    </w:p>
    <w:p w14:paraId="3ADAFBE8" w14:textId="77777777" w:rsidR="00B839C7" w:rsidRPr="00CF3AAD" w:rsidRDefault="00B839C7" w:rsidP="00B839C7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sąd odwoławczy zwróci akta sądowi I instancji celem sprostowania oczywistej omył</w:t>
      </w:r>
      <w:r w:rsidRPr="00CF3AAD">
        <w:rPr>
          <w:rFonts w:eastAsia="Times New Roman" w:cs="Times New Roman"/>
          <w:kern w:val="0"/>
          <w:lang w:eastAsia="pl-PL"/>
          <w14:ligatures w14:val="none"/>
        </w:rPr>
        <w:softHyphen/>
        <w:t>ki pisarskiej;</w:t>
      </w:r>
    </w:p>
    <w:p w14:paraId="7DFECE64" w14:textId="77777777" w:rsidR="00B839C7" w:rsidRPr="00CF3AAD" w:rsidRDefault="00B839C7" w:rsidP="00B839C7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sąd odwoławczy uchyli zaskarżony wyrok w części niezależnie od granic zaskarże</w:t>
      </w:r>
      <w:r w:rsidRPr="00CF3AAD">
        <w:rPr>
          <w:rFonts w:eastAsia="Times New Roman" w:cs="Times New Roman"/>
          <w:kern w:val="0"/>
          <w:lang w:eastAsia="pl-PL"/>
          <w14:ligatures w14:val="none"/>
        </w:rPr>
        <w:softHyphen/>
        <w:t>nia i podniesionych zarzutów oraz wpływu uchybienia na treść orzeczenia;</w:t>
      </w:r>
    </w:p>
    <w:p w14:paraId="3340CDBC" w14:textId="77777777" w:rsidR="00B839C7" w:rsidRPr="00CF3AAD" w:rsidRDefault="00B839C7" w:rsidP="00B839C7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CF3AAD">
        <w:rPr>
          <w:rFonts w:eastAsia="Times New Roman" w:cs="Times New Roman"/>
          <w:kern w:val="0"/>
          <w:lang w:eastAsia="pl-PL"/>
          <w14:ligatures w14:val="none"/>
        </w:rPr>
        <w:t>sąd odwoławczy dokona kontroli wyroku sądu I instancji jedynie z zakresie pod</w:t>
      </w:r>
      <w:r w:rsidRPr="00CF3AAD">
        <w:rPr>
          <w:rFonts w:eastAsia="Times New Roman" w:cs="Times New Roman"/>
          <w:kern w:val="0"/>
          <w:lang w:eastAsia="pl-PL"/>
          <w14:ligatures w14:val="none"/>
        </w:rPr>
        <w:softHyphen/>
        <w:t>niesionego zarzutu rażącej niewspółmierności kary pozbawienia wolności.</w:t>
      </w:r>
    </w:p>
    <w:p w14:paraId="5821856E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908A887" w14:textId="77777777" w:rsidR="00B839C7" w:rsidRPr="00CF3AAD" w:rsidRDefault="00B839C7" w:rsidP="00B839C7">
      <w:pPr>
        <w:numPr>
          <w:ilvl w:val="0"/>
          <w:numId w:val="9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 xml:space="preserve">W przypadku stwierdzenia, że </w:t>
      </w:r>
      <w:r w:rsidRPr="00CF3AAD">
        <w:rPr>
          <w:rFonts w:eastAsia="Calibri" w:cs="Times New Roman"/>
          <w:i/>
          <w:kern w:val="0"/>
          <w14:ligatures w14:val="none"/>
        </w:rPr>
        <w:t>w związku z postępowaniem dopuszczono się przestęp</w:t>
      </w:r>
      <w:r w:rsidRPr="00CF3AAD">
        <w:rPr>
          <w:rFonts w:eastAsia="Calibri" w:cs="Times New Roman"/>
          <w:i/>
          <w:kern w:val="0"/>
          <w14:ligatures w14:val="none"/>
        </w:rPr>
        <w:softHyphen/>
        <w:t xml:space="preserve">stwa, a istnieje uzasadniona podstawa do przyjęcia, że mogło to mieć wpływ na treść orzeczenia </w:t>
      </w:r>
      <w:r w:rsidRPr="00CF3AAD">
        <w:rPr>
          <w:rFonts w:eastAsia="Calibri" w:cs="Times New Roman"/>
          <w:kern w:val="0"/>
          <w14:ligatures w14:val="none"/>
        </w:rPr>
        <w:t>strona uzyskuje możliwość wniesienia:</w:t>
      </w:r>
    </w:p>
    <w:p w14:paraId="7C35F52B" w14:textId="77777777" w:rsidR="00B839C7" w:rsidRPr="00CF3AAD" w:rsidRDefault="00B839C7" w:rsidP="00B839C7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skargi na wyrok sądu odwoławczego;</w:t>
      </w:r>
    </w:p>
    <w:p w14:paraId="3D0B6051" w14:textId="77777777" w:rsidR="00B839C7" w:rsidRPr="00CF3AAD" w:rsidRDefault="00B839C7" w:rsidP="00B839C7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kasacji;</w:t>
      </w:r>
    </w:p>
    <w:p w14:paraId="787ADA44" w14:textId="77777777" w:rsidR="00B839C7" w:rsidRPr="00CF3AAD" w:rsidRDefault="00B839C7" w:rsidP="00B839C7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wniosku o wznowienie postępowania.</w:t>
      </w:r>
    </w:p>
    <w:p w14:paraId="769F7678" w14:textId="77777777" w:rsidR="00B34EC7" w:rsidRPr="00CF3AAD" w:rsidRDefault="00B34EC7">
      <w:pPr>
        <w:rPr>
          <w:rFonts w:cs="Times New Roman"/>
        </w:rPr>
      </w:pPr>
    </w:p>
    <w:p w14:paraId="099F553A" w14:textId="77777777" w:rsidR="00B839C7" w:rsidRPr="00CF3AAD" w:rsidRDefault="00B839C7">
      <w:pPr>
        <w:rPr>
          <w:rFonts w:cs="Times New Roman"/>
        </w:rPr>
      </w:pPr>
    </w:p>
    <w:p w14:paraId="3C666246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Prawo karne</w:t>
      </w:r>
    </w:p>
    <w:p w14:paraId="3ED4EA27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Prokurator Prokuratury Rejonowej w Piasecznie skierował do Sądu Rejonowego dla Warsza</w:t>
      </w:r>
      <w:r w:rsidRPr="00CF3AAD">
        <w:rPr>
          <w:rFonts w:eastAsia="Calibri" w:cs="Times New Roman"/>
          <w:kern w:val="0"/>
          <w14:ligatures w14:val="none"/>
        </w:rPr>
        <w:softHyphen/>
        <w:t>wy-Śródmieścia w Warszawie akt oskarżenia przeciwko Krzysztofowi T. Oskarżonego rep</w:t>
      </w:r>
      <w:r w:rsidRPr="00CF3AAD">
        <w:rPr>
          <w:rFonts w:eastAsia="Calibri" w:cs="Times New Roman"/>
          <w:kern w:val="0"/>
          <w14:ligatures w14:val="none"/>
        </w:rPr>
        <w:softHyphen/>
        <w:t xml:space="preserve">rezentuje obrońca adw. Jacek G. </w:t>
      </w:r>
    </w:p>
    <w:p w14:paraId="0927A207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 xml:space="preserve">Oskarżonemu zarzucono, że dnia 11 listopada 2022r. w Warszawie przy ul. Świętokrzyskiej róg ul. Emilii Plater publicznie znieważył flagę państwową w ten sposób, że zerwał ją z elewacji budynku, rzucił na ziemię i podeptał, przy czym był to występek o charakterze chuligańskim, to jest przestępstwo z art. 137 § 1 kk w zw. z art. 57a § 1 kk. </w:t>
      </w:r>
    </w:p>
    <w:p w14:paraId="507FA170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 xml:space="preserve">Art. 35 § 1 </w:t>
      </w:r>
      <w:proofErr w:type="spellStart"/>
      <w:r w:rsidRPr="00CF3AAD">
        <w:rPr>
          <w:rFonts w:eastAsia="Calibri" w:cs="Times New Roman"/>
          <w:kern w:val="0"/>
          <w14:ligatures w14:val="none"/>
        </w:rPr>
        <w:t>kpk</w:t>
      </w:r>
      <w:proofErr w:type="spellEnd"/>
      <w:r w:rsidRPr="00CF3AAD">
        <w:rPr>
          <w:rFonts w:eastAsia="Calibri" w:cs="Times New Roman"/>
          <w:kern w:val="0"/>
          <w14:ligatures w14:val="none"/>
        </w:rPr>
        <w:t xml:space="preserve"> stanowi: </w:t>
      </w:r>
      <w:r w:rsidRPr="00CF3AAD">
        <w:rPr>
          <w:rFonts w:eastAsia="Calibri" w:cs="Times New Roman"/>
          <w:i/>
          <w:kern w:val="0"/>
          <w14:ligatures w14:val="none"/>
        </w:rPr>
        <w:t>sąd bada z urzędu swą właściwość, a w razie stwierdzenia swej nie</w:t>
      </w:r>
      <w:r w:rsidRPr="00CF3AAD">
        <w:rPr>
          <w:rFonts w:eastAsia="Calibri" w:cs="Times New Roman"/>
          <w:i/>
          <w:kern w:val="0"/>
          <w14:ligatures w14:val="none"/>
        </w:rPr>
        <w:softHyphen/>
        <w:t>właściwości przekazuje sprawę właściwemu sądowi lub innemu organowi</w:t>
      </w:r>
      <w:r w:rsidRPr="00CF3AAD">
        <w:rPr>
          <w:rFonts w:eastAsia="Calibri" w:cs="Times New Roman"/>
          <w:kern w:val="0"/>
          <w14:ligatures w14:val="none"/>
        </w:rPr>
        <w:t>.</w:t>
      </w:r>
    </w:p>
    <w:p w14:paraId="4B6116AF" w14:textId="77777777" w:rsidR="00B839C7" w:rsidRPr="00CF3AAD" w:rsidRDefault="00B839C7" w:rsidP="00B839C7">
      <w:pPr>
        <w:spacing w:after="0" w:line="360" w:lineRule="auto"/>
        <w:ind w:left="0" w:right="0" w:firstLine="0"/>
        <w:rPr>
          <w:rFonts w:eastAsia="Calibri" w:cs="Times New Roman"/>
          <w:kern w:val="0"/>
          <w:u w:val="single"/>
          <w14:ligatures w14:val="none"/>
        </w:rPr>
      </w:pPr>
      <w:r w:rsidRPr="00CF3AAD">
        <w:rPr>
          <w:rFonts w:eastAsia="Calibri" w:cs="Times New Roman"/>
          <w:kern w:val="0"/>
          <w14:ligatures w14:val="none"/>
        </w:rPr>
        <w:t>Proszę dokonać kontroli sprawy przez pryzmat przepisów dotyczących właściwości sądu i przygotować projekt odpowiedniej decyzji procesowej (wraz z niezbędnymi zarządze</w:t>
      </w:r>
      <w:r w:rsidRPr="00CF3AAD">
        <w:rPr>
          <w:rFonts w:eastAsia="Calibri" w:cs="Times New Roman"/>
          <w:kern w:val="0"/>
          <w14:ligatures w14:val="none"/>
        </w:rPr>
        <w:softHyphen/>
        <w:t>niami).</w:t>
      </w:r>
      <w:r w:rsidRPr="00CF3AAD">
        <w:rPr>
          <w:rFonts w:eastAsia="Calibri" w:cs="Times New Roman"/>
          <w:kern w:val="0"/>
          <w:u w:val="single"/>
          <w14:ligatures w14:val="none"/>
        </w:rPr>
        <w:t xml:space="preserve"> </w:t>
      </w:r>
    </w:p>
    <w:p w14:paraId="398E5E0D" w14:textId="77777777" w:rsidR="00B839C7" w:rsidRPr="00CF3AAD" w:rsidRDefault="00B839C7">
      <w:pPr>
        <w:rPr>
          <w:rFonts w:cs="Times New Roman"/>
        </w:rPr>
      </w:pPr>
    </w:p>
    <w:sectPr w:rsidR="00B839C7" w:rsidRPr="00CF3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2701"/>
    <w:multiLevelType w:val="hybridMultilevel"/>
    <w:tmpl w:val="08B67ABE"/>
    <w:lvl w:ilvl="0" w:tplc="6F628106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358A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A297AAA"/>
    <w:multiLevelType w:val="hybridMultilevel"/>
    <w:tmpl w:val="6958F63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15462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8F2519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AC451B"/>
    <w:multiLevelType w:val="hybridMultilevel"/>
    <w:tmpl w:val="3260F53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8287D0A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3F4F80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343042"/>
    <w:multiLevelType w:val="hybridMultilevel"/>
    <w:tmpl w:val="3956035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A041E3"/>
    <w:multiLevelType w:val="hybridMultilevel"/>
    <w:tmpl w:val="B692775A"/>
    <w:lvl w:ilvl="0" w:tplc="8DB831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FB62833"/>
    <w:multiLevelType w:val="hybridMultilevel"/>
    <w:tmpl w:val="3956035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34B54DD"/>
    <w:multiLevelType w:val="hybridMultilevel"/>
    <w:tmpl w:val="B692775A"/>
    <w:lvl w:ilvl="0" w:tplc="8DB831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7D62934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6B620D0"/>
    <w:multiLevelType w:val="hybridMultilevel"/>
    <w:tmpl w:val="2B06D47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86F5D"/>
    <w:multiLevelType w:val="hybridMultilevel"/>
    <w:tmpl w:val="3260F53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D54093E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6E091B40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98126A3"/>
    <w:multiLevelType w:val="hybridMultilevel"/>
    <w:tmpl w:val="08B67ABE"/>
    <w:lvl w:ilvl="0" w:tplc="6F628106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7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9"/>
  </w:num>
  <w:num w:numId="5" w16cid:durableId="828248301">
    <w:abstractNumId w:val="12"/>
  </w:num>
  <w:num w:numId="6" w16cid:durableId="2083216277">
    <w:abstractNumId w:val="14"/>
  </w:num>
  <w:num w:numId="7" w16cid:durableId="1975867640">
    <w:abstractNumId w:val="1"/>
  </w:num>
  <w:num w:numId="8" w16cid:durableId="1409616849">
    <w:abstractNumId w:val="13"/>
  </w:num>
  <w:num w:numId="9" w16cid:durableId="1734153497">
    <w:abstractNumId w:val="15"/>
  </w:num>
  <w:num w:numId="10" w16cid:durableId="1577277289">
    <w:abstractNumId w:val="4"/>
  </w:num>
  <w:num w:numId="11" w16cid:durableId="547036073">
    <w:abstractNumId w:val="18"/>
  </w:num>
  <w:num w:numId="12" w16cid:durableId="142040030">
    <w:abstractNumId w:val="8"/>
  </w:num>
  <w:num w:numId="13" w16cid:durableId="1948123839">
    <w:abstractNumId w:val="19"/>
  </w:num>
  <w:num w:numId="14" w16cid:durableId="1957835601">
    <w:abstractNumId w:val="22"/>
  </w:num>
  <w:num w:numId="15" w16cid:durableId="1410662812">
    <w:abstractNumId w:val="2"/>
  </w:num>
  <w:num w:numId="16" w16cid:durableId="7370321">
    <w:abstractNumId w:val="6"/>
  </w:num>
  <w:num w:numId="17" w16cid:durableId="2092384270">
    <w:abstractNumId w:val="3"/>
  </w:num>
  <w:num w:numId="18" w16cid:durableId="1500777001">
    <w:abstractNumId w:val="11"/>
  </w:num>
  <w:num w:numId="19" w16cid:durableId="2016809814">
    <w:abstractNumId w:val="20"/>
  </w:num>
  <w:num w:numId="20" w16cid:durableId="122122256">
    <w:abstractNumId w:val="5"/>
  </w:num>
  <w:num w:numId="21" w16cid:durableId="608125482">
    <w:abstractNumId w:val="7"/>
  </w:num>
  <w:num w:numId="22" w16cid:durableId="362243534">
    <w:abstractNumId w:val="10"/>
  </w:num>
  <w:num w:numId="23" w16cid:durableId="2060469976">
    <w:abstractNumId w:val="21"/>
  </w:num>
  <w:num w:numId="24" w16cid:durableId="158933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C7"/>
    <w:rsid w:val="0017340A"/>
    <w:rsid w:val="001F578F"/>
    <w:rsid w:val="003C5056"/>
    <w:rsid w:val="00404812"/>
    <w:rsid w:val="00497D25"/>
    <w:rsid w:val="004E23CD"/>
    <w:rsid w:val="00886BAA"/>
    <w:rsid w:val="009454AF"/>
    <w:rsid w:val="009A74E1"/>
    <w:rsid w:val="00B34EC7"/>
    <w:rsid w:val="00B839C7"/>
    <w:rsid w:val="00BB48D1"/>
    <w:rsid w:val="00C32AF7"/>
    <w:rsid w:val="00C66091"/>
    <w:rsid w:val="00CF3AAD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5F8F4"/>
  <w15:chartTrackingRefBased/>
  <w15:docId w15:val="{77DD990C-A320-46FE-ACF3-8125ACEE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3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3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39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39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39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39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39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39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39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B83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3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39C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39C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39C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39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39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39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39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39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3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39C7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39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39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39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39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39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3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39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39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1193</Words>
  <Characters>7162</Characters>
  <Application>Microsoft Office Word</Application>
  <DocSecurity>0</DocSecurity>
  <Lines>59</Lines>
  <Paragraphs>16</Paragraphs>
  <ScaleCrop>false</ScaleCrop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2026-07-22T13:23:00Z</dcterms:created>
  <dcterms:modified xsi:type="dcterms:W3CDTF">2026-07-30T07:34:00Z</dcterms:modified>
</cp:coreProperties>
</file>