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567B4" w14:textId="77777777" w:rsidR="00632698" w:rsidRPr="001C314D" w:rsidRDefault="00632698" w:rsidP="00632698">
      <w:pPr>
        <w:spacing w:after="0" w:line="360" w:lineRule="auto"/>
        <w:ind w:left="0" w:right="0" w:hanging="142"/>
        <w:jc w:val="center"/>
        <w:rPr>
          <w:rFonts w:eastAsia="Calibri" w:cs="Times New Roman"/>
          <w:bCs/>
          <w:kern w:val="0"/>
          <w:u w:val="single"/>
          <w14:ligatures w14:val="none"/>
        </w:rPr>
      </w:pPr>
      <w:r w:rsidRPr="001C314D">
        <w:rPr>
          <w:rFonts w:eastAsia="Calibri" w:cs="Times New Roman"/>
          <w:bCs/>
          <w:kern w:val="0"/>
          <w:u w:val="single"/>
          <w14:ligatures w14:val="none"/>
        </w:rPr>
        <w:t>Pytania z zakresu prawa cywilnego oraz postępowania cywilnego</w:t>
      </w:r>
    </w:p>
    <w:p w14:paraId="40A8365D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03A5CB0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Zgodnie w regułami prawa cywilnego ciężar udowodnienia faktu spoczywa:</w:t>
      </w:r>
    </w:p>
    <w:p w14:paraId="2A0289AE" w14:textId="77777777" w:rsidR="00632698" w:rsidRPr="001C314D" w:rsidRDefault="00632698" w:rsidP="00632698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zawsze na powodzie;</w:t>
      </w:r>
    </w:p>
    <w:p w14:paraId="3E68A576" w14:textId="77777777" w:rsidR="00632698" w:rsidRPr="001C314D" w:rsidRDefault="00632698" w:rsidP="00632698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osobie, która z faktu tego wywodzi skutki prawne;</w:t>
      </w:r>
    </w:p>
    <w:p w14:paraId="4FA0841F" w14:textId="77777777" w:rsidR="00632698" w:rsidRPr="001C314D" w:rsidRDefault="00632698" w:rsidP="00632698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przedsiębiorcy, niezależnie od tego, czy jest powodem, czy pozwanym.</w:t>
      </w:r>
    </w:p>
    <w:p w14:paraId="5BF97473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BF53BCB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Zdolność prawną każdy człowiek ma:</w:t>
      </w:r>
    </w:p>
    <w:p w14:paraId="5A039052" w14:textId="77777777" w:rsidR="00632698" w:rsidRPr="001C314D" w:rsidRDefault="00632698" w:rsidP="00632698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od urodzenia;</w:t>
      </w:r>
    </w:p>
    <w:p w14:paraId="55C46EC2" w14:textId="77777777" w:rsidR="00632698" w:rsidRPr="001C314D" w:rsidRDefault="00632698" w:rsidP="00632698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od ukończenia 13-tego roku życia;</w:t>
      </w:r>
    </w:p>
    <w:p w14:paraId="6BD9E190" w14:textId="77777777" w:rsidR="00632698" w:rsidRPr="001C314D" w:rsidRDefault="00632698" w:rsidP="00632698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od ukończenia 18-tego roku życia, chyba że wcześniej zawarł małżeństwo.</w:t>
      </w:r>
    </w:p>
    <w:p w14:paraId="20AF5065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0ABE892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Zgodnie z przepisami prawa cywilnego miejscem zamieszkania osoby fizycznej jest:</w:t>
      </w:r>
    </w:p>
    <w:p w14:paraId="5E05CD27" w14:textId="77777777" w:rsidR="00632698" w:rsidRPr="001C314D" w:rsidRDefault="00632698" w:rsidP="00632698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miejscowość, w której jest zameldowana;</w:t>
      </w:r>
    </w:p>
    <w:p w14:paraId="1F9C4024" w14:textId="77777777" w:rsidR="00632698" w:rsidRPr="001C314D" w:rsidRDefault="00632698" w:rsidP="00632698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miejscowość, w której przebywa od co najmniej 12 miesięcy;</w:t>
      </w:r>
    </w:p>
    <w:p w14:paraId="48556464" w14:textId="77777777" w:rsidR="00632698" w:rsidRPr="001C314D" w:rsidRDefault="00632698" w:rsidP="00632698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miejscowość, w której przebywa z zamiarem stałego pobytu.</w:t>
      </w:r>
    </w:p>
    <w:p w14:paraId="0EF93CD4" w14:textId="77777777" w:rsidR="00632698" w:rsidRPr="001C314D" w:rsidRDefault="00632698" w:rsidP="00632698">
      <w:pPr>
        <w:spacing w:after="0" w:line="360" w:lineRule="auto"/>
        <w:ind w:left="426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0A9F4518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Proszę wskazać zdanie prawdziwe – Osobami prawnymi są:</w:t>
      </w:r>
    </w:p>
    <w:p w14:paraId="1B2A666A" w14:textId="77777777" w:rsidR="00632698" w:rsidRPr="001C314D" w:rsidRDefault="00632698" w:rsidP="00632698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Skarb Państwa i inne podmioty, w których Skarb Państwa posiada lub dysponuje po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nad 50% akcji lub udziałów;</w:t>
      </w:r>
    </w:p>
    <w:p w14:paraId="44A7A8EE" w14:textId="77777777" w:rsidR="00632698" w:rsidRPr="001C314D" w:rsidRDefault="00632698" w:rsidP="00632698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 xml:space="preserve">Skarb Państwa i jednostki organizacyjne, którym </w:t>
      </w:r>
      <w:hyperlink r:id="rId5" w:anchor="/search-hypertext/16785996_art(33)_1?pit=2023-09-14" w:tgtFrame="_blank" w:history="1">
        <w:r w:rsidRPr="001C314D">
          <w:rPr>
            <w:rFonts w:eastAsia="Calibri" w:cs="Times New Roman"/>
            <w:bCs/>
            <w:kern w:val="0"/>
            <w14:ligatures w14:val="none"/>
          </w:rPr>
          <w:t>przepisy</w:t>
        </w:r>
      </w:hyperlink>
      <w:r w:rsidRPr="001C314D">
        <w:rPr>
          <w:rFonts w:eastAsia="Calibri" w:cs="Times New Roman"/>
          <w:bCs/>
          <w:kern w:val="0"/>
          <w14:ligatures w14:val="none"/>
        </w:rPr>
        <w:t xml:space="preserve"> szczególne przyznają oso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bowość prawną;</w:t>
      </w:r>
    </w:p>
    <w:p w14:paraId="6F0883AE" w14:textId="77777777" w:rsidR="00632698" w:rsidRPr="001C314D" w:rsidRDefault="00632698" w:rsidP="00632698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Skarb Państwa i spółki prawa handlowego.</w:t>
      </w:r>
    </w:p>
    <w:p w14:paraId="34B0A685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7F0FCFA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Proszę wskazać zdanie fałszywe:</w:t>
      </w:r>
    </w:p>
    <w:p w14:paraId="7325F9A7" w14:textId="77777777" w:rsidR="00632698" w:rsidRPr="001C314D" w:rsidRDefault="00632698" w:rsidP="00632698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Times New Roman" w:cs="Times New Roman"/>
          <w:bCs/>
          <w:kern w:val="0"/>
          <w:lang w:eastAsia="pl-PL"/>
          <w14:ligatures w14:val="none"/>
        </w:rPr>
        <w:t>część składowa rzeczy może być odrębnym przedmiotem własności i innych praw rzeczowych</w:t>
      </w:r>
      <w:r w:rsidRPr="001C314D">
        <w:rPr>
          <w:rFonts w:eastAsia="Calibri" w:cs="Times New Roman"/>
          <w:bCs/>
          <w:kern w:val="0"/>
          <w14:ligatures w14:val="none"/>
        </w:rPr>
        <w:t>;</w:t>
      </w:r>
    </w:p>
    <w:p w14:paraId="12E77F2C" w14:textId="77777777" w:rsidR="00632698" w:rsidRPr="001C314D" w:rsidRDefault="00632698" w:rsidP="00632698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Times New Roman" w:cs="Times New Roman"/>
          <w:bCs/>
          <w:kern w:val="0"/>
          <w:lang w:eastAsia="pl-PL"/>
          <w14:ligatures w14:val="none"/>
        </w:rPr>
        <w:t>częścią składową rzeczy jest wszystko, co nie może być od niej odłączone bez uszko</w:t>
      </w:r>
      <w:r w:rsidRPr="001C314D">
        <w:rPr>
          <w:rFonts w:eastAsia="Times New Roman" w:cs="Times New Roman"/>
          <w:bCs/>
          <w:kern w:val="0"/>
          <w:lang w:eastAsia="pl-PL"/>
          <w14:ligatures w14:val="none"/>
        </w:rPr>
        <w:softHyphen/>
        <w:t>dzenia lub istotnej zmiany całości albo bez uszkodzenia lub istotnej zmiany przed</w:t>
      </w:r>
      <w:r w:rsidRPr="001C314D">
        <w:rPr>
          <w:rFonts w:eastAsia="Times New Roman" w:cs="Times New Roman"/>
          <w:bCs/>
          <w:kern w:val="0"/>
          <w:lang w:eastAsia="pl-PL"/>
          <w14:ligatures w14:val="none"/>
        </w:rPr>
        <w:softHyphen/>
        <w:t>miotu odłączonego</w:t>
      </w:r>
      <w:r w:rsidRPr="001C314D">
        <w:rPr>
          <w:rFonts w:eastAsia="Calibri" w:cs="Times New Roman"/>
          <w:bCs/>
          <w:kern w:val="0"/>
          <w14:ligatures w14:val="none"/>
        </w:rPr>
        <w:t>;</w:t>
      </w:r>
    </w:p>
    <w:p w14:paraId="56066611" w14:textId="77777777" w:rsidR="00632698" w:rsidRPr="001C314D" w:rsidRDefault="00632698" w:rsidP="00632698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Times New Roman" w:cs="Times New Roman"/>
          <w:bCs/>
          <w:kern w:val="0"/>
          <w:lang w:eastAsia="pl-PL"/>
          <w14:ligatures w14:val="none"/>
        </w:rPr>
        <w:t>przedmioty połączone z rzeczą tylko dla przemijającego użytku nie stanowią jej częś</w:t>
      </w:r>
      <w:r w:rsidRPr="001C314D">
        <w:rPr>
          <w:rFonts w:eastAsia="Times New Roman" w:cs="Times New Roman"/>
          <w:bCs/>
          <w:kern w:val="0"/>
          <w:lang w:eastAsia="pl-PL"/>
          <w14:ligatures w14:val="none"/>
        </w:rPr>
        <w:softHyphen/>
        <w:t>ci składowych</w:t>
      </w:r>
      <w:r w:rsidRPr="001C314D">
        <w:rPr>
          <w:rFonts w:eastAsia="Calibri" w:cs="Times New Roman"/>
          <w:bCs/>
          <w:kern w:val="0"/>
          <w14:ligatures w14:val="none"/>
        </w:rPr>
        <w:t>.</w:t>
      </w:r>
    </w:p>
    <w:p w14:paraId="4E868506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9AA11C5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C787D32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lastRenderedPageBreak/>
        <w:t>Ograniczonym prawem rzeczowym jest:</w:t>
      </w:r>
    </w:p>
    <w:p w14:paraId="2567BDB5" w14:textId="77777777" w:rsidR="00632698" w:rsidRPr="001C314D" w:rsidRDefault="00632698" w:rsidP="00632698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najem;</w:t>
      </w:r>
    </w:p>
    <w:p w14:paraId="17E59ABA" w14:textId="77777777" w:rsidR="00632698" w:rsidRPr="001C314D" w:rsidRDefault="00632698" w:rsidP="00632698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służebność;</w:t>
      </w:r>
    </w:p>
    <w:p w14:paraId="5E6DA078" w14:textId="77777777" w:rsidR="00632698" w:rsidRPr="001C314D" w:rsidRDefault="00632698" w:rsidP="00632698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użytkowanie wieczyste.</w:t>
      </w:r>
    </w:p>
    <w:p w14:paraId="2EB1FFB3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DAB4346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Zgodnie z kodeksem cywilnym oświadczenie woli złożone przez osobę, która z ja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kichkolwiek powodów znajdowała się w stanie wyłączającym świadome albo swo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bodne powzięcie decyzji i wyrażenie woli, jest:</w:t>
      </w:r>
    </w:p>
    <w:p w14:paraId="2E40DF0C" w14:textId="77777777" w:rsidR="00632698" w:rsidRPr="001C314D" w:rsidRDefault="00632698" w:rsidP="00632698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bezskuteczne;</w:t>
      </w:r>
    </w:p>
    <w:p w14:paraId="09B9AAB3" w14:textId="77777777" w:rsidR="00632698" w:rsidRPr="001C314D" w:rsidRDefault="00632698" w:rsidP="00632698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nieważne;</w:t>
      </w:r>
    </w:p>
    <w:p w14:paraId="32D6589D" w14:textId="77777777" w:rsidR="00632698" w:rsidRPr="001C314D" w:rsidRDefault="00632698" w:rsidP="00632698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ważne, ale można uchylić się od skutków prawnych tego oświadczenia.</w:t>
      </w:r>
    </w:p>
    <w:p w14:paraId="641252BA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DFCA5A7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Zgodnie z kodeksem cywilnym roszczenie o zniesienie współwłasności:</w:t>
      </w:r>
    </w:p>
    <w:p w14:paraId="506BC9B7" w14:textId="77777777" w:rsidR="00632698" w:rsidRPr="001C314D" w:rsidRDefault="00632698" w:rsidP="00632698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ulega przedawnieniu z upływem 10 lat;</w:t>
      </w:r>
    </w:p>
    <w:p w14:paraId="52264759" w14:textId="77777777" w:rsidR="00632698" w:rsidRPr="001C314D" w:rsidRDefault="00632698" w:rsidP="00632698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nie ulega przedawnieniu;</w:t>
      </w:r>
    </w:p>
    <w:p w14:paraId="218C0151" w14:textId="77777777" w:rsidR="00632698" w:rsidRPr="001C314D" w:rsidRDefault="00632698" w:rsidP="00632698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ulega przedawnieniu z upływem lat 20.</w:t>
      </w:r>
    </w:p>
    <w:p w14:paraId="131B4E0E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98E2975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Kodeks cywilny jedną z uregulowanych w nim umów definiuje wskazując, że jedna strona zobowiązuje się zezwolić drugiej stronie, przez czas oznaczony lub nieoznaczony, na bezpłatne używanie oddanej mu w tym celu rzeczy. Proszę wskazać, jaka ta umo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wa:</w:t>
      </w:r>
    </w:p>
    <w:p w14:paraId="7DD93415" w14:textId="77777777" w:rsidR="00632698" w:rsidRPr="001C314D" w:rsidRDefault="00632698" w:rsidP="00632698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użytkowanie;</w:t>
      </w:r>
    </w:p>
    <w:p w14:paraId="10B00DE1" w14:textId="77777777" w:rsidR="00632698" w:rsidRPr="001C314D" w:rsidRDefault="00632698" w:rsidP="00632698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użyczenie;</w:t>
      </w:r>
    </w:p>
    <w:p w14:paraId="4D113B24" w14:textId="77777777" w:rsidR="00632698" w:rsidRPr="001C314D" w:rsidRDefault="00632698" w:rsidP="00632698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darowizna.</w:t>
      </w:r>
    </w:p>
    <w:p w14:paraId="2916BC15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83A2999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Zgodnie z kodeksem cywilnym oświadczenie o przyjęciu lub odrzuceniu spadku może być złożone:</w:t>
      </w:r>
    </w:p>
    <w:p w14:paraId="1A5AC6B9" w14:textId="77777777" w:rsidR="00632698" w:rsidRPr="001C314D" w:rsidRDefault="00632698" w:rsidP="00632698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w ciągu sześciu miesięcy od chwili otwarcia spadku;</w:t>
      </w:r>
    </w:p>
    <w:p w14:paraId="27866F84" w14:textId="77777777" w:rsidR="00632698" w:rsidRPr="001C314D" w:rsidRDefault="00632698" w:rsidP="00632698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w ciągu sześciu miesięcy od wszczęcia postępowania w przedmiocie stwierdzenia nabycia spadku;</w:t>
      </w:r>
    </w:p>
    <w:p w14:paraId="6B70D94B" w14:textId="77777777" w:rsidR="00632698" w:rsidRPr="001C314D" w:rsidRDefault="00632698" w:rsidP="00632698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w ciągu sześciu miesięcy od dnia, w którym spadkobierca dowiedział się o tytule swego powołania.</w:t>
      </w:r>
    </w:p>
    <w:p w14:paraId="634CF0E1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9C1D177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B8D8105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Proszę wskazać zdanie prawdziwe: Spółka cywilna -</w:t>
      </w:r>
    </w:p>
    <w:p w14:paraId="3E9B7EE6" w14:textId="77777777" w:rsidR="00632698" w:rsidRPr="001C314D" w:rsidRDefault="00632698" w:rsidP="00632698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lastRenderedPageBreak/>
        <w:t>posiada osobowość prawną, a jej umowa powinna zostać stwierdzona pismem;</w:t>
      </w:r>
    </w:p>
    <w:p w14:paraId="6E600E7A" w14:textId="77777777" w:rsidR="00632698" w:rsidRPr="001C314D" w:rsidRDefault="00632698" w:rsidP="00632698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to jedna z umów uregulowanych przepisami kodeksu cywilnego, poprzez zawarcie której wspólnicy zobowiązują się dążyć do osiągnięcia wspólnego celu gospodarcze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go przez działanie w sposób oznaczony;</w:t>
      </w:r>
    </w:p>
    <w:p w14:paraId="76183EC0" w14:textId="77777777" w:rsidR="00632698" w:rsidRPr="001C314D" w:rsidRDefault="00632698" w:rsidP="00632698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jest uproszczoną odmianą spółki jawnej, która nie podlega wpisowi do Krajowego Rejestru Sądowego.</w:t>
      </w:r>
    </w:p>
    <w:p w14:paraId="1B2C4343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C1D3065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Zachowek – co do zasady – przysługuje:</w:t>
      </w:r>
    </w:p>
    <w:p w14:paraId="56D63801" w14:textId="77777777" w:rsidR="00632698" w:rsidRPr="001C314D" w:rsidRDefault="00632698" w:rsidP="00632698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byłemu małżonkowi spadkodawcy, o ile rozwód małżonków orzeczono bez orzekania o winie;</w:t>
      </w:r>
    </w:p>
    <w:p w14:paraId="732F69BC" w14:textId="77777777" w:rsidR="00632698" w:rsidRPr="001C314D" w:rsidRDefault="00632698" w:rsidP="00632698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zstępnym, małżonkowi oraz rodzicom spadkodawcy, którzy byliby powołani do spad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ku z ustawy;</w:t>
      </w:r>
    </w:p>
    <w:p w14:paraId="7CF8364C" w14:textId="77777777" w:rsidR="00632698" w:rsidRPr="001C314D" w:rsidRDefault="00632698" w:rsidP="00632698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spadkobiercy wymienionemu w każdym testamencie, który następnie został odwo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łany.</w:t>
      </w:r>
    </w:p>
    <w:p w14:paraId="5947FC1E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99FE424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W pierwszej instancji (według zasady ogólnej) sąd w składzie jednego sędziego jako przewodniczącego oraz dwóch ławników rozpozna sprawę o:</w:t>
      </w:r>
    </w:p>
    <w:p w14:paraId="45FFF95E" w14:textId="77777777" w:rsidR="00632698" w:rsidRPr="001C314D" w:rsidRDefault="00632698" w:rsidP="00632698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uzgodnienie treści księgi wieczystej z rzeczywistym stanem prawnym, o ile wartość nieruchomości przekracza 100.000,00 zł;</w:t>
      </w:r>
    </w:p>
    <w:p w14:paraId="080E5F26" w14:textId="77777777" w:rsidR="00632698" w:rsidRPr="001C314D" w:rsidRDefault="00632698" w:rsidP="00632698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rozwiązanie przysposobienia;</w:t>
      </w:r>
    </w:p>
    <w:p w14:paraId="2A64D9AC" w14:textId="77777777" w:rsidR="00632698" w:rsidRPr="001C314D" w:rsidRDefault="00632698" w:rsidP="00632698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ochronę dóbr osobistych.</w:t>
      </w:r>
    </w:p>
    <w:p w14:paraId="79FF5D0B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4A16CBA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Jeżeli w toku posiedzenia okaże się, że o żądaniu strony można rozstrzygnąć na in</w:t>
      </w:r>
      <w:r w:rsidRPr="001C314D">
        <w:rPr>
          <w:rFonts w:eastAsia="Calibri" w:cs="Times New Roman"/>
          <w:bCs/>
          <w:kern w:val="0"/>
          <w14:ligatures w14:val="none"/>
        </w:rPr>
        <w:softHyphen/>
        <w:t xml:space="preserve">nej podstawie prawnej, niż przez nią wskazana sąd: </w:t>
      </w:r>
    </w:p>
    <w:p w14:paraId="4FD4ED9E" w14:textId="77777777" w:rsidR="00632698" w:rsidRPr="001C314D" w:rsidRDefault="00632698" w:rsidP="00632698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uprzedza się o tym strony;</w:t>
      </w:r>
    </w:p>
    <w:p w14:paraId="36AC9C44" w14:textId="77777777" w:rsidR="00632698" w:rsidRPr="001C314D" w:rsidRDefault="00632698" w:rsidP="00632698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nie może orzec na innej podstawie prawnej niż wskazana przez stronę;</w:t>
      </w:r>
    </w:p>
    <w:p w14:paraId="16F3BCB0" w14:textId="77777777" w:rsidR="00632698" w:rsidRPr="001C314D" w:rsidRDefault="00632698" w:rsidP="00632698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wzywa się stronę do podania właściwej podstawy prawnej w terminie tygodniowym pod rygorem oddalenia żądania.</w:t>
      </w:r>
    </w:p>
    <w:p w14:paraId="1F9A7991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4366A0D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68F14F1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A233F70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5457605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4CD587B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Nieważność postępowania zachodzi, gdy:</w:t>
      </w:r>
    </w:p>
    <w:p w14:paraId="04C86F82" w14:textId="77777777" w:rsidR="00632698" w:rsidRPr="001C314D" w:rsidRDefault="00632698" w:rsidP="00632698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lastRenderedPageBreak/>
        <w:t>w sprawie orzekł sąd rejonowy, pomimo że do rozpoznania tej sprawy jest właściwy sąd okręgowy bez względu na wartość przedmiotu sporu;</w:t>
      </w:r>
    </w:p>
    <w:p w14:paraId="186A756B" w14:textId="77777777" w:rsidR="00632698" w:rsidRPr="001C314D" w:rsidRDefault="00632698" w:rsidP="00632698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w sprawie o stwierdzenie nabycia spadku orzekł sąd okręgowy;</w:t>
      </w:r>
    </w:p>
    <w:p w14:paraId="47273D46" w14:textId="77777777" w:rsidR="00632698" w:rsidRPr="001C314D" w:rsidRDefault="00632698" w:rsidP="00632698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w sprawie o zapłatę kwoty 500.000 zł orzekł sąd rejonowy.</w:t>
      </w:r>
    </w:p>
    <w:p w14:paraId="47667122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400F02DD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W postępowaniu nieprocesowym, od incydentalnych postanowień sądu I instancji przysługuje:</w:t>
      </w:r>
    </w:p>
    <w:p w14:paraId="1AEDA623" w14:textId="77777777" w:rsidR="00632698" w:rsidRPr="001C314D" w:rsidRDefault="00632698" w:rsidP="00632698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zastrzeżenie;</w:t>
      </w:r>
    </w:p>
    <w:p w14:paraId="2A0B5BFE" w14:textId="77777777" w:rsidR="00632698" w:rsidRPr="001C314D" w:rsidRDefault="00632698" w:rsidP="00632698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zażalenie;</w:t>
      </w:r>
    </w:p>
    <w:p w14:paraId="10D4D97F" w14:textId="77777777" w:rsidR="00632698" w:rsidRPr="001C314D" w:rsidRDefault="00632698" w:rsidP="00632698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 xml:space="preserve">skarga.  </w:t>
      </w:r>
    </w:p>
    <w:p w14:paraId="50A895C8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E86FFC8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W przypadku, w którym mimo niesporządzenia aktu zgonu śmierć człowieka jest niewątpliwa toczyć się będzie postępowanie:</w:t>
      </w:r>
    </w:p>
    <w:p w14:paraId="4C0F8B99" w14:textId="77777777" w:rsidR="00632698" w:rsidRPr="001C314D" w:rsidRDefault="00632698" w:rsidP="00632698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o uznanie za zmarłego;</w:t>
      </w:r>
    </w:p>
    <w:p w14:paraId="0B6B54D0" w14:textId="77777777" w:rsidR="00632698" w:rsidRPr="001C314D" w:rsidRDefault="00632698" w:rsidP="00632698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o stwierdzenie zgonu;</w:t>
      </w:r>
    </w:p>
    <w:p w14:paraId="2FA15614" w14:textId="77777777" w:rsidR="00632698" w:rsidRPr="001C314D" w:rsidRDefault="00632698" w:rsidP="00632698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o zobowiązanie Kierownika Urzędu Stanu Cywilnego do sporządzenia aktu zgonu.</w:t>
      </w:r>
    </w:p>
    <w:p w14:paraId="5B6FFEAD" w14:textId="77777777" w:rsidR="00632698" w:rsidRPr="001C314D" w:rsidRDefault="00632698" w:rsidP="00632698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28A22A3" w14:textId="77777777" w:rsidR="00632698" w:rsidRPr="001C314D" w:rsidRDefault="00632698" w:rsidP="00632698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Sądem wyłącznie właściwym (sądem spadku) do czynności w postępowaniu spadko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wym, które należą do zakresu działania sądów jest:</w:t>
      </w:r>
    </w:p>
    <w:p w14:paraId="385FC7B8" w14:textId="77777777" w:rsidR="00632698" w:rsidRPr="001C314D" w:rsidRDefault="00632698" w:rsidP="00632698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sąd miejsca zgonu spadkodawcy;</w:t>
      </w:r>
    </w:p>
    <w:p w14:paraId="4D7DA51A" w14:textId="77777777" w:rsidR="00632698" w:rsidRPr="001C314D" w:rsidRDefault="00632698" w:rsidP="00632698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sąd ostatniego miejsca zwykłego pobytu spadkodawcy;</w:t>
      </w:r>
    </w:p>
    <w:p w14:paraId="6833A651" w14:textId="77777777" w:rsidR="00632698" w:rsidRPr="001C314D" w:rsidRDefault="00632698" w:rsidP="00632698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sąd miejsca, w którym znajduje się majątek spadkowy obejmujący nieruchomości.</w:t>
      </w:r>
    </w:p>
    <w:p w14:paraId="17B9587F" w14:textId="77777777" w:rsidR="00B34EC7" w:rsidRPr="001C314D" w:rsidRDefault="00B34EC7">
      <w:pPr>
        <w:rPr>
          <w:rFonts w:cs="Times New Roman"/>
          <w:bCs/>
        </w:rPr>
      </w:pPr>
    </w:p>
    <w:p w14:paraId="35D01D48" w14:textId="77777777" w:rsidR="00632698" w:rsidRPr="001C314D" w:rsidRDefault="00632698">
      <w:pPr>
        <w:rPr>
          <w:rFonts w:cs="Times New Roman"/>
          <w:bCs/>
        </w:rPr>
      </w:pPr>
    </w:p>
    <w:p w14:paraId="00695995" w14:textId="77777777" w:rsidR="00632698" w:rsidRPr="001C314D" w:rsidRDefault="00632698" w:rsidP="00632698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:u w:val="single"/>
          <w14:ligatures w14:val="none"/>
        </w:rPr>
      </w:pPr>
      <w:r w:rsidRPr="001C314D">
        <w:rPr>
          <w:rFonts w:eastAsia="Calibri" w:cs="Times New Roman"/>
          <w:bCs/>
          <w:color w:val="000000"/>
          <w:kern w:val="0"/>
          <w:u w:val="single"/>
          <w14:ligatures w14:val="none"/>
        </w:rPr>
        <w:t xml:space="preserve">PRAWO CYWILNE </w:t>
      </w:r>
    </w:p>
    <w:p w14:paraId="649E4C1E" w14:textId="77777777" w:rsidR="00632698" w:rsidRPr="001C314D" w:rsidRDefault="00632698" w:rsidP="00632698">
      <w:pPr>
        <w:spacing w:before="240"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Powód Jan Nowak, reprezentowany przez profesjonalnego pełnomocnika w osobie adw. Ada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ma Kowalskiego dnia 14 listopada 2023r. wniósł do Sądu Rejonowego dla Warszawy-Śród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mieścia w Warszawie pozew, w którym domaga się zasądzenia na jego rzecz od ING Banku Śląskiego S.A. z siedzibą w Katowicach kwoty 4.200,00 zł tytułem niesłusznie pobranych prowizji za prowadzenie rachunku bankowego. Powód mieszka w Warszawie, przy ul. Brac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kiej (dzielnica Śródmieście). Do pozwu załączono wyłącznie kopię pełnomocnictwa udzielo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nego przez powoda adw. Adamowi Kowalskiemu. Nie załączono odpisu pozwu oraz nie uisz</w:t>
      </w:r>
      <w:r w:rsidRPr="001C314D">
        <w:rPr>
          <w:rFonts w:eastAsia="Calibri" w:cs="Times New Roman"/>
          <w:bCs/>
          <w:kern w:val="0"/>
          <w14:ligatures w14:val="none"/>
        </w:rPr>
        <w:softHyphen/>
        <w:t xml:space="preserve">czono </w:t>
      </w:r>
      <w:r w:rsidRPr="001C314D">
        <w:rPr>
          <w:rFonts w:eastAsia="Calibri" w:cs="Times New Roman"/>
          <w:bCs/>
          <w:kern w:val="0"/>
          <w14:ligatures w14:val="none"/>
        </w:rPr>
        <w:lastRenderedPageBreak/>
        <w:t xml:space="preserve">od niego opłaty. Adw. Adam Kowalski wskazał w pozwie, że powód samodzielnie uiści opłatę. Do chwili obecnej nie dokonał tego. </w:t>
      </w:r>
    </w:p>
    <w:p w14:paraId="27DB146F" w14:textId="77777777" w:rsidR="00632698" w:rsidRPr="001C314D" w:rsidRDefault="00632698" w:rsidP="00632698">
      <w:pPr>
        <w:spacing w:before="240"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  <w:r w:rsidRPr="001C314D">
        <w:rPr>
          <w:rFonts w:eastAsia="Calibri" w:cs="Times New Roman"/>
          <w:bCs/>
          <w:kern w:val="0"/>
          <w14:ligatures w14:val="none"/>
        </w:rPr>
        <w:t>Proszę sporządzić projekt odpowiedniej decyzji procesowej (wraz z krótkim uzasad</w:t>
      </w:r>
      <w:r w:rsidRPr="001C314D">
        <w:rPr>
          <w:rFonts w:eastAsia="Calibri" w:cs="Times New Roman"/>
          <w:bCs/>
          <w:kern w:val="0"/>
          <w14:ligatures w14:val="none"/>
        </w:rPr>
        <w:softHyphen/>
        <w:t>nieniem – nawet jeżeli ustawa nie wymaga sporządzenia uzasadnienia z urzędu) oraz odpowiednimi zarządzeniami i pouczeniami, o ile są wymagane</w:t>
      </w:r>
    </w:p>
    <w:p w14:paraId="7CFC0D9E" w14:textId="77777777" w:rsidR="00632698" w:rsidRPr="001C314D" w:rsidRDefault="00632698">
      <w:pPr>
        <w:rPr>
          <w:rFonts w:cs="Times New Roman"/>
          <w:bCs/>
        </w:rPr>
      </w:pPr>
    </w:p>
    <w:sectPr w:rsidR="00632698" w:rsidRPr="001C3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5D8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32D"/>
    <w:multiLevelType w:val="hybridMultilevel"/>
    <w:tmpl w:val="BED465F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B236F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55E8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7C786F"/>
    <w:multiLevelType w:val="hybridMultilevel"/>
    <w:tmpl w:val="F34A1C9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427A1"/>
    <w:multiLevelType w:val="hybridMultilevel"/>
    <w:tmpl w:val="1E8E9DE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BB4536"/>
    <w:multiLevelType w:val="hybridMultilevel"/>
    <w:tmpl w:val="B2AE5A8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9593D"/>
    <w:multiLevelType w:val="hybridMultilevel"/>
    <w:tmpl w:val="6BB450F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64AAC"/>
    <w:multiLevelType w:val="hybridMultilevel"/>
    <w:tmpl w:val="F6C0AC0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6B4A"/>
    <w:multiLevelType w:val="hybridMultilevel"/>
    <w:tmpl w:val="6EE4BB92"/>
    <w:lvl w:ilvl="0" w:tplc="47E813B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3B6B0B"/>
    <w:multiLevelType w:val="hybridMultilevel"/>
    <w:tmpl w:val="B9DCAB86"/>
    <w:lvl w:ilvl="0" w:tplc="E5CAF9EC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B52DB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B40190F"/>
    <w:multiLevelType w:val="hybridMultilevel"/>
    <w:tmpl w:val="1F5EA13C"/>
    <w:lvl w:ilvl="0" w:tplc="29005D74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B0221BD"/>
    <w:multiLevelType w:val="hybridMultilevel"/>
    <w:tmpl w:val="8B3AB848"/>
    <w:lvl w:ilvl="0" w:tplc="3EE073C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450A9"/>
    <w:multiLevelType w:val="hybridMultilevel"/>
    <w:tmpl w:val="6958F63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63AD1"/>
    <w:multiLevelType w:val="hybridMultilevel"/>
    <w:tmpl w:val="2264C1D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4E15BA0"/>
    <w:multiLevelType w:val="hybridMultilevel"/>
    <w:tmpl w:val="C9647C4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21354"/>
    <w:multiLevelType w:val="hybridMultilevel"/>
    <w:tmpl w:val="C9647C4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94E6D"/>
    <w:multiLevelType w:val="hybridMultilevel"/>
    <w:tmpl w:val="DD5E021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20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6"/>
  </w:num>
  <w:num w:numId="5" w16cid:durableId="828248301">
    <w:abstractNumId w:val="11"/>
  </w:num>
  <w:num w:numId="6" w16cid:durableId="1539777808">
    <w:abstractNumId w:val="15"/>
  </w:num>
  <w:num w:numId="7" w16cid:durableId="925453584">
    <w:abstractNumId w:val="17"/>
  </w:num>
  <w:num w:numId="8" w16cid:durableId="1330135942">
    <w:abstractNumId w:val="5"/>
  </w:num>
  <w:num w:numId="9" w16cid:durableId="1244535908">
    <w:abstractNumId w:val="10"/>
  </w:num>
  <w:num w:numId="10" w16cid:durableId="979072560">
    <w:abstractNumId w:val="9"/>
  </w:num>
  <w:num w:numId="11" w16cid:durableId="2003239900">
    <w:abstractNumId w:val="1"/>
  </w:num>
  <w:num w:numId="12" w16cid:durableId="280309866">
    <w:abstractNumId w:val="4"/>
  </w:num>
  <w:num w:numId="13" w16cid:durableId="1574505187">
    <w:abstractNumId w:val="8"/>
  </w:num>
  <w:num w:numId="14" w16cid:durableId="1793472092">
    <w:abstractNumId w:val="19"/>
  </w:num>
  <w:num w:numId="15" w16cid:durableId="1500193121">
    <w:abstractNumId w:val="21"/>
  </w:num>
  <w:num w:numId="16" w16cid:durableId="2068800612">
    <w:abstractNumId w:val="23"/>
  </w:num>
  <w:num w:numId="17" w16cid:durableId="1767728232">
    <w:abstractNumId w:val="18"/>
  </w:num>
  <w:num w:numId="18" w16cid:durableId="1892031360">
    <w:abstractNumId w:val="2"/>
  </w:num>
  <w:num w:numId="19" w16cid:durableId="1557818817">
    <w:abstractNumId w:val="0"/>
  </w:num>
  <w:num w:numId="20" w16cid:durableId="937449055">
    <w:abstractNumId w:val="22"/>
  </w:num>
  <w:num w:numId="21" w16cid:durableId="2138333765">
    <w:abstractNumId w:val="7"/>
  </w:num>
  <w:num w:numId="22" w16cid:durableId="1137190057">
    <w:abstractNumId w:val="13"/>
  </w:num>
  <w:num w:numId="23" w16cid:durableId="2098864984">
    <w:abstractNumId w:val="3"/>
  </w:num>
  <w:num w:numId="24" w16cid:durableId="1345092701">
    <w:abstractNumId w:val="14"/>
  </w:num>
  <w:num w:numId="25" w16cid:durableId="17067141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98"/>
    <w:rsid w:val="0017340A"/>
    <w:rsid w:val="001C314D"/>
    <w:rsid w:val="001F578F"/>
    <w:rsid w:val="003C5056"/>
    <w:rsid w:val="00404812"/>
    <w:rsid w:val="00446D81"/>
    <w:rsid w:val="004E23CD"/>
    <w:rsid w:val="00632698"/>
    <w:rsid w:val="00886BAA"/>
    <w:rsid w:val="009A74E1"/>
    <w:rsid w:val="00B34EC7"/>
    <w:rsid w:val="00BB48D1"/>
    <w:rsid w:val="00BD382F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0317"/>
  <w15:chartTrackingRefBased/>
  <w15:docId w15:val="{EF49E7DC-EEE3-4B58-BF41-498B801C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2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6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6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6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6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6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6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6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632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69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69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69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6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6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6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69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6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698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6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6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6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6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6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6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6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850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2026-07-22T14:03:00Z</dcterms:created>
  <dcterms:modified xsi:type="dcterms:W3CDTF">2026-07-29T09:21:00Z</dcterms:modified>
</cp:coreProperties>
</file>