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1695A" w14:textId="77777777" w:rsidR="00134EAB" w:rsidRPr="00CA230A" w:rsidRDefault="00134EAB" w:rsidP="00134EAB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CA230A">
        <w:rPr>
          <w:rFonts w:eastAsia="Calibri" w:cs="Times New Roman"/>
          <w:b/>
          <w:kern w:val="0"/>
          <w:u w:val="single"/>
          <w14:ligatures w14:val="none"/>
        </w:rPr>
        <w:t>Pytania z zakresu prawa karnego oraz postępowania karnego</w:t>
      </w:r>
    </w:p>
    <w:p w14:paraId="5EE35612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5269C91A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Zbrodnią jest:</w:t>
      </w:r>
    </w:p>
    <w:p w14:paraId="3F54DF1C" w14:textId="77777777" w:rsidR="00134EAB" w:rsidRPr="00CA230A" w:rsidRDefault="00134EAB" w:rsidP="00134EAB">
      <w:pPr>
        <w:numPr>
          <w:ilvl w:val="0"/>
          <w:numId w:val="1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czyn zabroniony zagrożony karą pozbawienia wolności na czas przekraczający 10 lat;</w:t>
      </w:r>
    </w:p>
    <w:p w14:paraId="360007E5" w14:textId="77777777" w:rsidR="00134EAB" w:rsidRPr="00CA230A" w:rsidRDefault="00134EAB" w:rsidP="00134EAB">
      <w:pPr>
        <w:numPr>
          <w:ilvl w:val="0"/>
          <w:numId w:val="1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czyn zabroniony zagrożony karą pozbawienia wolności na czas nie krótszy od lat 3 albo karą surowszą;</w:t>
      </w:r>
    </w:p>
    <w:p w14:paraId="3A3BA40C" w14:textId="77777777" w:rsidR="00134EAB" w:rsidRPr="00CA230A" w:rsidRDefault="00134EAB" w:rsidP="00134EAB">
      <w:pPr>
        <w:numPr>
          <w:ilvl w:val="0"/>
          <w:numId w:val="1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czyn dokonany z motywacji w wyniku motywacji zasługującej na szczególne potę</w:t>
      </w:r>
      <w:r w:rsidRPr="00CA230A">
        <w:rPr>
          <w:rFonts w:eastAsia="Calibri" w:cs="Times New Roman"/>
          <w:kern w:val="0"/>
          <w:lang w:eastAsia="pl-PL"/>
          <w14:ligatures w14:val="none"/>
        </w:rPr>
        <w:softHyphen/>
        <w:t>pienie.</w:t>
      </w:r>
    </w:p>
    <w:p w14:paraId="1D11419E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kern w:val="0"/>
          <w:lang w:eastAsia="pl-PL"/>
          <w14:ligatures w14:val="none"/>
        </w:rPr>
      </w:pPr>
    </w:p>
    <w:p w14:paraId="3A0F1B66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 xml:space="preserve">Zgodnie z Kodeksem karnym, kto wykorzystując uzależnienie innej osoby od siebie, poleca jej wykonanie czynu zabronionego, odpowiada za: </w:t>
      </w:r>
    </w:p>
    <w:p w14:paraId="709AD917" w14:textId="77777777" w:rsidR="00134EAB" w:rsidRPr="00CA230A" w:rsidRDefault="00134EAB" w:rsidP="00134EAB">
      <w:pPr>
        <w:numPr>
          <w:ilvl w:val="0"/>
          <w:numId w:val="1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podżeganie;</w:t>
      </w:r>
    </w:p>
    <w:p w14:paraId="7F873AAB" w14:textId="77777777" w:rsidR="00134EAB" w:rsidRPr="00CA230A" w:rsidRDefault="00134EAB" w:rsidP="00134EAB">
      <w:pPr>
        <w:numPr>
          <w:ilvl w:val="0"/>
          <w:numId w:val="1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pomocnictwo;</w:t>
      </w:r>
    </w:p>
    <w:p w14:paraId="01E2A0F2" w14:textId="77777777" w:rsidR="00134EAB" w:rsidRPr="00CA230A" w:rsidRDefault="00134EAB" w:rsidP="00134EAB">
      <w:pPr>
        <w:numPr>
          <w:ilvl w:val="0"/>
          <w:numId w:val="1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sprawstwo.</w:t>
      </w:r>
    </w:p>
    <w:p w14:paraId="4A726126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2105C43A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Środkiem karnym jest:</w:t>
      </w:r>
    </w:p>
    <w:p w14:paraId="75459B3E" w14:textId="77777777" w:rsidR="00134EAB" w:rsidRPr="00CA230A" w:rsidRDefault="00134EAB" w:rsidP="00134EAB">
      <w:pPr>
        <w:numPr>
          <w:ilvl w:val="0"/>
          <w:numId w:val="15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zakaz opuszczania kraju;</w:t>
      </w:r>
    </w:p>
    <w:p w14:paraId="0A617FE1" w14:textId="77777777" w:rsidR="00134EAB" w:rsidRPr="00CA230A" w:rsidRDefault="00134EAB" w:rsidP="00134EAB">
      <w:pPr>
        <w:numPr>
          <w:ilvl w:val="0"/>
          <w:numId w:val="15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zakaz wstępu na imprezę masową;</w:t>
      </w:r>
    </w:p>
    <w:p w14:paraId="59739302" w14:textId="77777777" w:rsidR="00134EAB" w:rsidRPr="00CA230A" w:rsidRDefault="00134EAB" w:rsidP="00134EAB">
      <w:pPr>
        <w:numPr>
          <w:ilvl w:val="0"/>
          <w:numId w:val="15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dozór elektroniczny.</w:t>
      </w:r>
    </w:p>
    <w:p w14:paraId="41DB9D60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kern w:val="0"/>
          <w:lang w:eastAsia="pl-PL"/>
          <w14:ligatures w14:val="none"/>
        </w:rPr>
      </w:pPr>
    </w:p>
    <w:p w14:paraId="21314A10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 xml:space="preserve">Zgodnie z Kodeksem karnym, jeżeli sprawca dopuścił się czynu zabronionego w  stanie niepoczytalności z powodu choroby psychicznej i nie mógł w czasie czynu rozpoznać jego znaczenia lub pokierować swoim postępowaniem, sąd może orzec tytułem środka zabezpieczającego zakaz prowadzenia pojazdów: </w:t>
      </w:r>
    </w:p>
    <w:p w14:paraId="7AF307A6" w14:textId="77777777" w:rsidR="00134EAB" w:rsidRPr="00CA230A" w:rsidRDefault="00134EAB" w:rsidP="00134EAB">
      <w:pPr>
        <w:numPr>
          <w:ilvl w:val="0"/>
          <w:numId w:val="1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na czas oznaczony, nie krótszy niż 3 lata;</w:t>
      </w:r>
    </w:p>
    <w:p w14:paraId="58796237" w14:textId="77777777" w:rsidR="00134EAB" w:rsidRPr="00CA230A" w:rsidRDefault="00134EAB" w:rsidP="00134EAB">
      <w:pPr>
        <w:numPr>
          <w:ilvl w:val="0"/>
          <w:numId w:val="1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na czas oznaczony, nie krótszy niż 1 rok, a nie dłuższy niż 10 lat;</w:t>
      </w:r>
    </w:p>
    <w:p w14:paraId="43B9BC03" w14:textId="77777777" w:rsidR="00134EAB" w:rsidRPr="00CA230A" w:rsidRDefault="00134EAB" w:rsidP="00134EAB">
      <w:pPr>
        <w:numPr>
          <w:ilvl w:val="0"/>
          <w:numId w:val="1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 xml:space="preserve">bez określenia czasu jego obowiązywania. </w:t>
      </w:r>
    </w:p>
    <w:p w14:paraId="476E855F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75FF75E2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 xml:space="preserve">Osoba skazana w warunkach określonych w art. 64 § 2 kk (tzw. </w:t>
      </w:r>
      <w:proofErr w:type="spellStart"/>
      <w:r w:rsidRPr="00CA230A">
        <w:rPr>
          <w:rFonts w:eastAsia="Calibri" w:cs="Times New Roman"/>
          <w:b/>
          <w:kern w:val="0"/>
          <w14:ligatures w14:val="none"/>
        </w:rPr>
        <w:t>multirecydywista</w:t>
      </w:r>
      <w:proofErr w:type="spellEnd"/>
      <w:r w:rsidRPr="00CA230A">
        <w:rPr>
          <w:rFonts w:eastAsia="Calibri" w:cs="Times New Roman"/>
          <w:b/>
          <w:kern w:val="0"/>
          <w14:ligatures w14:val="none"/>
        </w:rPr>
        <w:t xml:space="preserve"> specjalny wielokrotny):</w:t>
      </w:r>
    </w:p>
    <w:p w14:paraId="645A6047" w14:textId="77777777" w:rsidR="00134EAB" w:rsidRPr="00CA230A" w:rsidRDefault="00134EAB" w:rsidP="00134EAB">
      <w:pPr>
        <w:numPr>
          <w:ilvl w:val="0"/>
          <w:numId w:val="1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nie może zostać warunkowo przedterminowo zwolniony z odbycia reszty kary;</w:t>
      </w:r>
    </w:p>
    <w:p w14:paraId="7A2C6353" w14:textId="77777777" w:rsidR="00134EAB" w:rsidRPr="00CA230A" w:rsidRDefault="00134EAB" w:rsidP="00134EAB">
      <w:pPr>
        <w:numPr>
          <w:ilvl w:val="0"/>
          <w:numId w:val="1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może zostać warunkowo przedterminowo zwolniony po odbyciu 2/3 kary;</w:t>
      </w:r>
    </w:p>
    <w:p w14:paraId="13EB57B3" w14:textId="77777777" w:rsidR="00134EAB" w:rsidRPr="00CA230A" w:rsidRDefault="00134EAB" w:rsidP="00134EAB">
      <w:pPr>
        <w:numPr>
          <w:ilvl w:val="0"/>
          <w:numId w:val="1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:lang w:eastAsia="pl-PL"/>
          <w14:ligatures w14:val="none"/>
        </w:rPr>
      </w:pPr>
      <w:r w:rsidRPr="00CA230A">
        <w:rPr>
          <w:rFonts w:eastAsia="Calibri" w:cs="Times New Roman"/>
          <w:kern w:val="0"/>
          <w:lang w:eastAsia="pl-PL"/>
          <w14:ligatures w14:val="none"/>
        </w:rPr>
        <w:t>może zostać warunkowo przedterminowo zwolniony po odbyciu 3/4 kary.</w:t>
      </w:r>
    </w:p>
    <w:p w14:paraId="46901AE9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21652EEB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lastRenderedPageBreak/>
        <w:t>Zgodnie z Kodeksem karnym, w razie orzeczenia za zbiegające się przestępstwa pozbawienia praw publicznych, zakazów lub obowiązku tego samego rodzaju, sąd:</w:t>
      </w:r>
    </w:p>
    <w:p w14:paraId="41C5B1C8" w14:textId="77777777" w:rsidR="00134EAB" w:rsidRPr="00CA230A" w:rsidRDefault="00134EAB" w:rsidP="00134EAB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stosuje odpowiednio przepisy o karze łącznej;</w:t>
      </w:r>
    </w:p>
    <w:p w14:paraId="58421946" w14:textId="77777777" w:rsidR="00134EAB" w:rsidRPr="00CA230A" w:rsidRDefault="00134EAB" w:rsidP="00134EAB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może zastosować odpowiednio przepisy o karze łącznej, ale tylko na wniosek oskar</w:t>
      </w:r>
      <w:r w:rsidRPr="00CA230A">
        <w:rPr>
          <w:rFonts w:eastAsia="Calibri" w:cs="Times New Roman"/>
          <w:kern w:val="0"/>
          <w14:ligatures w14:val="none"/>
        </w:rPr>
        <w:softHyphen/>
        <w:t>żonego;</w:t>
      </w:r>
    </w:p>
    <w:p w14:paraId="7AD0878A" w14:textId="77777777" w:rsidR="00134EAB" w:rsidRPr="00CA230A" w:rsidRDefault="00134EAB" w:rsidP="00134EAB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nie może zastosować przepisów o karze łącznej.</w:t>
      </w:r>
    </w:p>
    <w:p w14:paraId="2CECB5AA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10021067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Zgodnie z Kodeksem karnym, niezależnie od wniosku pokrzywdzonego następuje ściganie przestępstwa, którego sprawca:</w:t>
      </w:r>
    </w:p>
    <w:p w14:paraId="3A3C0A7F" w14:textId="77777777" w:rsidR="00134EAB" w:rsidRPr="00CA230A" w:rsidRDefault="00134EAB" w:rsidP="00134EAB">
      <w:pPr>
        <w:numPr>
          <w:ilvl w:val="0"/>
          <w:numId w:val="17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ogranicza człowieka w przysługujących mu prawach ze względu na jego przynależ</w:t>
      </w:r>
      <w:r w:rsidRPr="00CA230A">
        <w:rPr>
          <w:rFonts w:eastAsia="Calibri" w:cs="Times New Roman"/>
          <w:kern w:val="0"/>
          <w14:ligatures w14:val="none"/>
        </w:rPr>
        <w:softHyphen/>
        <w:t>ność wyznaniową albo bezwyznaniowość,</w:t>
      </w:r>
    </w:p>
    <w:p w14:paraId="2C6B8421" w14:textId="77777777" w:rsidR="00134EAB" w:rsidRPr="00CA230A" w:rsidRDefault="00134EAB" w:rsidP="00134EAB">
      <w:pPr>
        <w:numPr>
          <w:ilvl w:val="0"/>
          <w:numId w:val="17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wykonuje zabieg leczniczy bez zgody pacjenta;</w:t>
      </w:r>
    </w:p>
    <w:p w14:paraId="33B89F3C" w14:textId="77777777" w:rsidR="00134EAB" w:rsidRPr="00CA230A" w:rsidRDefault="00134EAB" w:rsidP="00134EAB">
      <w:pPr>
        <w:numPr>
          <w:ilvl w:val="0"/>
          <w:numId w:val="17"/>
        </w:numPr>
        <w:spacing w:after="0" w:line="360" w:lineRule="auto"/>
        <w:ind w:right="0" w:hanging="294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nieumyślnie naraża człowieka na bezpośrednie niebezpieczeństwo utraty życia albo ciężkiego uszczerbku na zdrowiu.</w:t>
      </w:r>
    </w:p>
    <w:p w14:paraId="4CC191F2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3908BFE4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Zgodnie z kodeksem karnym odpowiedzialność za przestępstwo poniesie osoba, któ</w:t>
      </w:r>
      <w:r w:rsidRPr="00CA230A">
        <w:rPr>
          <w:rFonts w:eastAsia="Calibri" w:cs="Times New Roman"/>
          <w:b/>
          <w:kern w:val="0"/>
          <w14:ligatures w14:val="none"/>
        </w:rPr>
        <w:softHyphen/>
        <w:t>ra:</w:t>
      </w:r>
    </w:p>
    <w:p w14:paraId="1FB6528A" w14:textId="77777777" w:rsidR="00134EAB" w:rsidRPr="00CA230A" w:rsidRDefault="00134EAB" w:rsidP="00134EAB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nakłania inną osobę do uprawiania prostytucji;</w:t>
      </w:r>
    </w:p>
    <w:p w14:paraId="30894144" w14:textId="77777777" w:rsidR="00134EAB" w:rsidRPr="00CA230A" w:rsidRDefault="00134EAB" w:rsidP="00134EAB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uprawia prostytucję;</w:t>
      </w:r>
    </w:p>
    <w:p w14:paraId="1C998BF9" w14:textId="77777777" w:rsidR="00134EAB" w:rsidRPr="00CA230A" w:rsidRDefault="00134EAB" w:rsidP="00134EAB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499B80C2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6DA7803E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Sprawca dopuszcza się wymuszenia rozbójniczego, gdy:</w:t>
      </w:r>
    </w:p>
    <w:p w14:paraId="4DEFCEB2" w14:textId="77777777" w:rsidR="00134EAB" w:rsidRPr="00CA230A" w:rsidRDefault="00134EAB" w:rsidP="00134EAB">
      <w:pPr>
        <w:numPr>
          <w:ilvl w:val="0"/>
          <w:numId w:val="7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dokonuje zaboru rzeczy używając przemocy wobec osoby lub grożąc natychmiasto</w:t>
      </w:r>
      <w:r w:rsidRPr="00CA230A">
        <w:rPr>
          <w:rFonts w:eastAsia="Calibri" w:cs="Times New Roman"/>
          <w:kern w:val="0"/>
          <w14:ligatures w14:val="none"/>
        </w:rPr>
        <w:softHyphen/>
        <w:t>wym jej użyciem albo doprowadzając człowieka do stanu nieprzytomności lub bez</w:t>
      </w:r>
      <w:r w:rsidRPr="00CA230A">
        <w:rPr>
          <w:rFonts w:eastAsia="Calibri" w:cs="Times New Roman"/>
          <w:kern w:val="0"/>
          <w14:ligatures w14:val="none"/>
        </w:rPr>
        <w:softHyphen/>
        <w:t>bronności;</w:t>
      </w:r>
    </w:p>
    <w:p w14:paraId="03D96C64" w14:textId="77777777" w:rsidR="00134EAB" w:rsidRPr="00CA230A" w:rsidRDefault="00134EAB" w:rsidP="00134EAB">
      <w:pPr>
        <w:numPr>
          <w:ilvl w:val="0"/>
          <w:numId w:val="7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w celu osiągnięcia korzyści majątkowej, przemocą, groźbą zamachu na życie lub zdro</w:t>
      </w:r>
      <w:r w:rsidRPr="00CA230A">
        <w:rPr>
          <w:rFonts w:eastAsia="Calibri" w:cs="Times New Roman"/>
          <w:kern w:val="0"/>
          <w14:ligatures w14:val="none"/>
        </w:rPr>
        <w:softHyphen/>
        <w:t>wie albo gwałtownego zamachu na mienie, doprowadza inną osobę do rozporządzenia mieniem własnym lub cudzym albo do zaprzestania lub ograniczenia działalności gospodarczej;</w:t>
      </w:r>
    </w:p>
    <w:p w14:paraId="471FF71E" w14:textId="77777777" w:rsidR="00134EAB" w:rsidRPr="00CA230A" w:rsidRDefault="00134EAB" w:rsidP="00134EAB">
      <w:pPr>
        <w:numPr>
          <w:ilvl w:val="0"/>
          <w:numId w:val="7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w celu utrzymania się w posiadaniu zabranej rzeczy, bezpośrednio po dokonaniu kra</w:t>
      </w:r>
      <w:r w:rsidRPr="00CA230A">
        <w:rPr>
          <w:rFonts w:eastAsia="Calibri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bezbronności.</w:t>
      </w:r>
    </w:p>
    <w:p w14:paraId="30581BFB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3F363D1B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lastRenderedPageBreak/>
        <w:t>Zgodnie z kodeksem postępowania karnego, organ powołany do ścigania przes</w:t>
      </w:r>
      <w:r w:rsidRPr="00CA230A">
        <w:rPr>
          <w:rFonts w:eastAsia="Calibri" w:cs="Times New Roman"/>
          <w:b/>
          <w:kern w:val="0"/>
          <w14:ligatures w14:val="none"/>
        </w:rPr>
        <w:softHyphen/>
        <w:t>tępstw jest obowiązany do wszczęcia i przeprowadzenia postępowania przygoto</w:t>
      </w:r>
      <w:r w:rsidRPr="00CA230A">
        <w:rPr>
          <w:rFonts w:eastAsia="Calibri" w:cs="Times New Roman"/>
          <w:b/>
          <w:kern w:val="0"/>
          <w14:ligatures w14:val="none"/>
        </w:rPr>
        <w:softHyphen/>
        <w:t>wawczego, a oskarżyciel publiczny także do wniesienia i popierania oskarżenia – o czyn ścigany z urzędu. Norma ta kodyfikuje:</w:t>
      </w:r>
    </w:p>
    <w:p w14:paraId="1ED3153E" w14:textId="77777777" w:rsidR="00134EAB" w:rsidRPr="00CA230A" w:rsidRDefault="00134EAB" w:rsidP="00134EAB">
      <w:pPr>
        <w:numPr>
          <w:ilvl w:val="0"/>
          <w:numId w:val="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zasadę skargowości;</w:t>
      </w:r>
    </w:p>
    <w:p w14:paraId="22E2BC99" w14:textId="77777777" w:rsidR="00134EAB" w:rsidRPr="00CA230A" w:rsidRDefault="00134EAB" w:rsidP="00134EAB">
      <w:pPr>
        <w:numPr>
          <w:ilvl w:val="0"/>
          <w:numId w:val="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zasadę oportunizmu;</w:t>
      </w:r>
    </w:p>
    <w:p w14:paraId="6F6A0196" w14:textId="77777777" w:rsidR="00134EAB" w:rsidRPr="00CA230A" w:rsidRDefault="00134EAB" w:rsidP="00134EAB">
      <w:pPr>
        <w:numPr>
          <w:ilvl w:val="0"/>
          <w:numId w:val="8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zasadę legalizmu.</w:t>
      </w:r>
    </w:p>
    <w:p w14:paraId="50CBC6AF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349216B2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Zgodnie z Kodeksem postępowania karnego, prokurator w postępowaniu przygoto</w:t>
      </w:r>
      <w:r w:rsidRPr="00CA230A">
        <w:rPr>
          <w:rFonts w:eastAsia="Calibri" w:cs="Times New Roman"/>
          <w:b/>
          <w:kern w:val="0"/>
          <w14:ligatures w14:val="none"/>
        </w:rPr>
        <w:softHyphen/>
        <w:t>wawczym:</w:t>
      </w:r>
    </w:p>
    <w:p w14:paraId="637D6C73" w14:textId="77777777" w:rsidR="00134EAB" w:rsidRPr="00CA230A" w:rsidRDefault="00134EAB" w:rsidP="00134EAB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nie może uchylić tymczasowego aresztowania zastosowanego przez sąd w tej sprawie, a ewentualny wniosek w tym przedmiocie przekazuje sądowi;</w:t>
      </w:r>
    </w:p>
    <w:p w14:paraId="5DB6640C" w14:textId="77777777" w:rsidR="00134EAB" w:rsidRPr="00CA230A" w:rsidRDefault="00134EAB" w:rsidP="00134EAB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może uchylić tymczasowe aresztowanie zastosowane przez sąd w tej sprawie;</w:t>
      </w:r>
    </w:p>
    <w:p w14:paraId="39290C42" w14:textId="77777777" w:rsidR="00134EAB" w:rsidRPr="00CA230A" w:rsidRDefault="00134EAB" w:rsidP="00134EAB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może uchylić tymczasowe aresztowanie zastosowane przez sąd w tej sprawie, o ile jednocześnie stosuje wolnościowe środki zapobiegawcze.</w:t>
      </w:r>
    </w:p>
    <w:p w14:paraId="76C80907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730F5590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2E52779D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Zgodnie z Kodeksem postępowania karnego, zawieszenie postępowania:</w:t>
      </w:r>
    </w:p>
    <w:p w14:paraId="2CC39715" w14:textId="77777777" w:rsidR="00134EAB" w:rsidRPr="00CA230A" w:rsidRDefault="00134EAB" w:rsidP="00134EAB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nie stoi na przeszkodzie orzekaniu co do środków zapobiegawczych;</w:t>
      </w:r>
    </w:p>
    <w:p w14:paraId="6687BA52" w14:textId="77777777" w:rsidR="00134EAB" w:rsidRPr="00CA230A" w:rsidRDefault="00134EAB" w:rsidP="00134EAB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uniemożliwia orzekanie co do środków zapobiegawczych;</w:t>
      </w:r>
    </w:p>
    <w:p w14:paraId="0003D6C0" w14:textId="77777777" w:rsidR="00134EAB" w:rsidRPr="00CA230A" w:rsidRDefault="00134EAB" w:rsidP="00134EAB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nie stoi na przeszkodzie orzekaniu co do środków zapobiegawczych, ale w przypadku zawieszenia postępowania trwającego ponad rok należy uchylić zastosowane środki.</w:t>
      </w:r>
    </w:p>
    <w:p w14:paraId="2E523A00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2387D8F6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Zgodnie z Kodeksem postępowania karnego, w wypadkach określonych w ustawie referendarz sądowy może wydawać:</w:t>
      </w:r>
    </w:p>
    <w:p w14:paraId="2D9B1731" w14:textId="77777777" w:rsidR="00134EAB" w:rsidRPr="00CA230A" w:rsidRDefault="00134EAB" w:rsidP="00134EAB">
      <w:pPr>
        <w:numPr>
          <w:ilvl w:val="0"/>
          <w:numId w:val="1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wyroki, postanowienia i zarządzenia;</w:t>
      </w:r>
    </w:p>
    <w:p w14:paraId="31D58F60" w14:textId="77777777" w:rsidR="00134EAB" w:rsidRPr="00CA230A" w:rsidRDefault="00134EAB" w:rsidP="00134EAB">
      <w:pPr>
        <w:numPr>
          <w:ilvl w:val="0"/>
          <w:numId w:val="1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postanowienia lub zarządzenia, a także polecenia, które zgodnie z ustawą wydaje sąd;</w:t>
      </w:r>
    </w:p>
    <w:p w14:paraId="68EA2C87" w14:textId="77777777" w:rsidR="00134EAB" w:rsidRPr="00CA230A" w:rsidRDefault="00134EAB" w:rsidP="00134EAB">
      <w:pPr>
        <w:numPr>
          <w:ilvl w:val="0"/>
          <w:numId w:val="1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wyroki nakazowe, postanowienia, zarządzenia, a także polecenia, które zgodnie z usta</w:t>
      </w:r>
      <w:r w:rsidRPr="00CA230A">
        <w:rPr>
          <w:rFonts w:eastAsia="Calibri" w:cs="Times New Roman"/>
          <w:kern w:val="0"/>
          <w14:ligatures w14:val="none"/>
        </w:rPr>
        <w:softHyphen/>
        <w:t>wą wydaje sąd.</w:t>
      </w:r>
    </w:p>
    <w:p w14:paraId="7ABB26A5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78C68A2A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Zgodnie z Kodeksem postępowania karnego, jeżeli treść zeznań mogłaby narazić na hańbę świadka lub osobę dla niego najbliższą, świadek może:</w:t>
      </w:r>
    </w:p>
    <w:p w14:paraId="73AF61C5" w14:textId="77777777" w:rsidR="00134EAB" w:rsidRPr="00CA230A" w:rsidRDefault="00134EAB" w:rsidP="00134EAB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odmówić składania zeznań;</w:t>
      </w:r>
    </w:p>
    <w:p w14:paraId="2A46ADCA" w14:textId="77777777" w:rsidR="00134EAB" w:rsidRPr="00CA230A" w:rsidRDefault="00134EAB" w:rsidP="00134EAB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żądać, aby przesłuchano go na rozprawie z wyłączeniem jawności;</w:t>
      </w:r>
    </w:p>
    <w:p w14:paraId="7485F586" w14:textId="77777777" w:rsidR="00134EAB" w:rsidRPr="00CA230A" w:rsidRDefault="00134EAB" w:rsidP="00134EAB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lastRenderedPageBreak/>
        <w:t>uchylić się od odpowiedzi na pytanie.</w:t>
      </w:r>
    </w:p>
    <w:p w14:paraId="5228F909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08E6A2B8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 xml:space="preserve">Zgodnie z art. 387 </w:t>
      </w:r>
      <w:proofErr w:type="spellStart"/>
      <w:r w:rsidRPr="00CA230A">
        <w:rPr>
          <w:rFonts w:eastAsia="Calibri" w:cs="Times New Roman"/>
          <w:b/>
          <w:kern w:val="0"/>
          <w14:ligatures w14:val="none"/>
        </w:rPr>
        <w:t>kpk</w:t>
      </w:r>
      <w:proofErr w:type="spellEnd"/>
      <w:r w:rsidRPr="00CA230A">
        <w:rPr>
          <w:rFonts w:eastAsia="Calibri" w:cs="Times New Roman"/>
          <w:b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12FD1529" w14:textId="77777777" w:rsidR="00134EAB" w:rsidRPr="00CA230A" w:rsidRDefault="00134EAB" w:rsidP="00134EAB">
      <w:pPr>
        <w:numPr>
          <w:ilvl w:val="0"/>
          <w:numId w:val="9"/>
        </w:numPr>
        <w:spacing w:after="0" w:line="360" w:lineRule="auto"/>
        <w:ind w:left="709" w:right="0" w:hanging="283"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CA230A">
        <w:rPr>
          <w:rFonts w:eastAsia="Times New Roman" w:cs="Times New Roman"/>
          <w:kern w:val="0"/>
          <w:lang w:eastAsia="pl-PL"/>
          <w14:ligatures w14:val="none"/>
        </w:rPr>
        <w:t>wyrazili na to zgodę pokrzywdzony i prokurator;</w:t>
      </w:r>
    </w:p>
    <w:p w14:paraId="12216EBC" w14:textId="77777777" w:rsidR="00134EAB" w:rsidRPr="00CA230A" w:rsidRDefault="00134EAB" w:rsidP="00134EAB">
      <w:pPr>
        <w:numPr>
          <w:ilvl w:val="0"/>
          <w:numId w:val="9"/>
        </w:numPr>
        <w:spacing w:after="0" w:line="360" w:lineRule="auto"/>
        <w:ind w:left="709" w:right="0" w:hanging="283"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CA230A">
        <w:rPr>
          <w:rFonts w:eastAsia="Times New Roman" w:cs="Times New Roman"/>
          <w:kern w:val="0"/>
          <w:lang w:eastAsia="pl-PL"/>
          <w14:ligatures w14:val="none"/>
        </w:rPr>
        <w:t>nie sprzeciwia się temu prokurator, a także pokrzywdzony należycie powiadomiony o terminie rozprawy oraz pouczony o możliwości zgłoszenia przez oskarżonego ta</w:t>
      </w:r>
      <w:r w:rsidRPr="00CA230A">
        <w:rPr>
          <w:rFonts w:eastAsia="Times New Roman" w:cs="Times New Roman"/>
          <w:kern w:val="0"/>
          <w:lang w:eastAsia="pl-PL"/>
          <w14:ligatures w14:val="none"/>
        </w:rPr>
        <w:softHyphen/>
        <w:t>kiego wniosku;</w:t>
      </w:r>
    </w:p>
    <w:p w14:paraId="27A1D58D" w14:textId="77777777" w:rsidR="00134EAB" w:rsidRPr="00CA230A" w:rsidRDefault="00134EAB" w:rsidP="00134EAB">
      <w:pPr>
        <w:numPr>
          <w:ilvl w:val="0"/>
          <w:numId w:val="9"/>
        </w:numPr>
        <w:spacing w:after="0" w:line="360" w:lineRule="auto"/>
        <w:ind w:left="709" w:right="0" w:hanging="283"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Times New Roman" w:cs="Times New Roman"/>
          <w:kern w:val="0"/>
          <w:lang w:eastAsia="pl-PL"/>
          <w14:ligatures w14:val="none"/>
        </w:rPr>
        <w:t>wyraża na to zgodę prokurator, a pokrzywdzony należycie powiadomiony o terminie rozprawy oraz pouczony o możliwości zgłoszenia przez oskarżonego takiego wniosku nie zgłosił sprzeciwu.</w:t>
      </w:r>
    </w:p>
    <w:p w14:paraId="068A3EFE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009F55AB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7BA627DB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053F93E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208D8822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70AC3433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 xml:space="preserve">Sąd I instancji skazał oskarżonego za czyn z art. 129 kk (zdrada dyplomatyczna: </w:t>
      </w:r>
      <w:r w:rsidRPr="00CA230A">
        <w:rPr>
          <w:rFonts w:eastAsia="Calibri" w:cs="Times New Roman"/>
          <w:b/>
          <w:i/>
          <w:kern w:val="0"/>
          <w14:ligatures w14:val="none"/>
        </w:rPr>
        <w:t>kto, będąc upoważniony do występowania w imieniu Rzeczypospolitej Polskiej w sto</w:t>
      </w:r>
      <w:r w:rsidRPr="00CA230A">
        <w:rPr>
          <w:rFonts w:eastAsia="Calibri" w:cs="Times New Roman"/>
          <w:b/>
          <w:i/>
          <w:kern w:val="0"/>
          <w14:ligatures w14:val="none"/>
        </w:rPr>
        <w:softHyphen/>
        <w:t>sunkach z rządem obcego państwa lub zagraniczną organizacją, działa na szkodę Rze</w:t>
      </w:r>
      <w:r w:rsidRPr="00CA230A">
        <w:rPr>
          <w:rFonts w:eastAsia="Calibri" w:cs="Times New Roman"/>
          <w:b/>
          <w:i/>
          <w:kern w:val="0"/>
          <w14:ligatures w14:val="none"/>
        </w:rPr>
        <w:softHyphen/>
        <w:t>czypospolitej Polskiej podlega karze pozbawienia wolności od roku do lat 10</w:t>
      </w:r>
      <w:r w:rsidRPr="00CA230A">
        <w:rPr>
          <w:rFonts w:eastAsia="Calibri" w:cs="Times New Roman"/>
          <w:b/>
          <w:kern w:val="0"/>
          <w14:ligatures w14:val="none"/>
        </w:rPr>
        <w:t>). Oskar</w:t>
      </w:r>
      <w:r w:rsidRPr="00CA230A">
        <w:rPr>
          <w:rFonts w:eastAsia="Calibri" w:cs="Times New Roman"/>
          <w:b/>
          <w:kern w:val="0"/>
          <w14:ligatures w14:val="none"/>
        </w:rPr>
        <w:softHyphen/>
        <w:t>żonemu wymierzono karę 2 lat pozbawienia wolności, jak też środek karny pozba</w:t>
      </w:r>
      <w:r w:rsidRPr="00CA230A">
        <w:rPr>
          <w:rFonts w:eastAsia="Calibri" w:cs="Times New Roman"/>
          <w:b/>
          <w:kern w:val="0"/>
          <w14:ligatures w14:val="none"/>
        </w:rPr>
        <w:softHyphen/>
        <w:t>wienia obywatelstwa polskiego na okres 11 lat. Prokurator zaskarżył wyrok zarzu</w:t>
      </w:r>
      <w:r w:rsidRPr="00CA230A">
        <w:rPr>
          <w:rFonts w:eastAsia="Calibri" w:cs="Times New Roman"/>
          <w:b/>
          <w:kern w:val="0"/>
          <w14:ligatures w14:val="none"/>
        </w:rPr>
        <w:softHyphen/>
        <w:t>cając rażącą łagodność kary (domaga się zmiany wyroku w tym zakresie i wymie</w:t>
      </w:r>
      <w:r w:rsidRPr="00CA230A">
        <w:rPr>
          <w:rFonts w:eastAsia="Calibri" w:cs="Times New Roman"/>
          <w:b/>
          <w:kern w:val="0"/>
          <w14:ligatures w14:val="none"/>
        </w:rPr>
        <w:softHyphen/>
        <w:t>rzenia kary 9 lat pozbawienia wolności). W opisanej sytuacji:</w:t>
      </w:r>
    </w:p>
    <w:p w14:paraId="195B7D0B" w14:textId="77777777" w:rsidR="00134EAB" w:rsidRPr="00CA230A" w:rsidRDefault="00134EAB" w:rsidP="00134EAB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CA230A">
        <w:rPr>
          <w:rFonts w:eastAsia="Times New Roman" w:cs="Times New Roman"/>
          <w:kern w:val="0"/>
          <w:lang w:eastAsia="pl-PL"/>
          <w14:ligatures w14:val="none"/>
        </w:rPr>
        <w:t>sąd odwoławczy zwróci akta sądowi I instancji celem sprostowania oczywistej omyłki pisarskiej;</w:t>
      </w:r>
    </w:p>
    <w:p w14:paraId="65D8D3DA" w14:textId="77777777" w:rsidR="00134EAB" w:rsidRPr="00CA230A" w:rsidRDefault="00134EAB" w:rsidP="00134EAB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CA230A">
        <w:rPr>
          <w:rFonts w:eastAsia="Times New Roman" w:cs="Times New Roman"/>
          <w:kern w:val="0"/>
          <w:lang w:eastAsia="pl-PL"/>
          <w14:ligatures w14:val="none"/>
        </w:rPr>
        <w:t>sąd odwoławczy uchyli zaskarżony wyrok w części niezależnie od granic zaskarżenia i podniesionych zarzutów oraz wpływu uchybienia na treść orzeczenia;</w:t>
      </w:r>
    </w:p>
    <w:p w14:paraId="4A444FA0" w14:textId="77777777" w:rsidR="00134EAB" w:rsidRPr="00CA230A" w:rsidRDefault="00134EAB" w:rsidP="00134EAB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CA230A">
        <w:rPr>
          <w:rFonts w:eastAsia="Times New Roman" w:cs="Times New Roman"/>
          <w:kern w:val="0"/>
          <w:lang w:eastAsia="pl-PL"/>
          <w14:ligatures w14:val="none"/>
        </w:rPr>
        <w:t>sąd odwoławczy dokona kontroli wyroku sądu I instancji jedynie z zakresie podnie</w:t>
      </w:r>
      <w:r w:rsidRPr="00CA230A">
        <w:rPr>
          <w:rFonts w:eastAsia="Times New Roman" w:cs="Times New Roman"/>
          <w:kern w:val="0"/>
          <w:lang w:eastAsia="pl-PL"/>
          <w14:ligatures w14:val="none"/>
        </w:rPr>
        <w:softHyphen/>
        <w:t>sionego zarzutu rażącej niewspółmierności kary pozbawienia wolności.</w:t>
      </w:r>
    </w:p>
    <w:p w14:paraId="39AF8983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1E3B3F02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lastRenderedPageBreak/>
        <w:t xml:space="preserve">W przypadku stwierdzenia, że </w:t>
      </w:r>
      <w:r w:rsidRPr="00CA230A">
        <w:rPr>
          <w:rFonts w:eastAsia="Calibri" w:cs="Times New Roman"/>
          <w:b/>
          <w:i/>
          <w:kern w:val="0"/>
          <w14:ligatures w14:val="none"/>
        </w:rPr>
        <w:t>w związku z postępowaniem dopuszczono się przestęp</w:t>
      </w:r>
      <w:r w:rsidRPr="00CA230A">
        <w:rPr>
          <w:rFonts w:eastAsia="Calibri" w:cs="Times New Roman"/>
          <w:b/>
          <w:i/>
          <w:kern w:val="0"/>
          <w14:ligatures w14:val="none"/>
        </w:rPr>
        <w:softHyphen/>
        <w:t xml:space="preserve">stwa, a istnieje uzasadniona podstawa do przyjęcia, że mogło to mieć wpływ na treść orzeczenia </w:t>
      </w:r>
      <w:r w:rsidRPr="00CA230A">
        <w:rPr>
          <w:rFonts w:eastAsia="Calibri" w:cs="Times New Roman"/>
          <w:b/>
          <w:kern w:val="0"/>
          <w14:ligatures w14:val="none"/>
        </w:rPr>
        <w:t>strona uzyskuje możliwość wniesienia:</w:t>
      </w:r>
    </w:p>
    <w:p w14:paraId="61ECF017" w14:textId="77777777" w:rsidR="00134EAB" w:rsidRPr="00CA230A" w:rsidRDefault="00134EAB" w:rsidP="00134EAB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skargi na wyrok sądu odwoławczego;</w:t>
      </w:r>
    </w:p>
    <w:p w14:paraId="59C37D51" w14:textId="77777777" w:rsidR="00134EAB" w:rsidRPr="00CA230A" w:rsidRDefault="00134EAB" w:rsidP="00134EAB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kasacji;</w:t>
      </w:r>
    </w:p>
    <w:p w14:paraId="3BAB79E6" w14:textId="77777777" w:rsidR="00134EAB" w:rsidRPr="00CA230A" w:rsidRDefault="00134EAB" w:rsidP="00134EAB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wniosku o wznowienie postępowania.</w:t>
      </w:r>
    </w:p>
    <w:p w14:paraId="3C702E7E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36B46B9E" w14:textId="77777777" w:rsidR="00134EAB" w:rsidRPr="00CA230A" w:rsidRDefault="00134EAB" w:rsidP="00134EAB">
      <w:pPr>
        <w:numPr>
          <w:ilvl w:val="0"/>
          <w:numId w:val="12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b/>
          <w:kern w:val="0"/>
          <w14:ligatures w14:val="none"/>
        </w:rPr>
        <w:t>Oskarżony chcąc zakwestionować wyrok nakazowy powinien wnieść:</w:t>
      </w:r>
    </w:p>
    <w:p w14:paraId="4291700E" w14:textId="77777777" w:rsidR="00134EAB" w:rsidRPr="00CA230A" w:rsidRDefault="00134EAB" w:rsidP="00134EAB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apelację;</w:t>
      </w:r>
    </w:p>
    <w:p w14:paraId="608492E3" w14:textId="77777777" w:rsidR="00134EAB" w:rsidRPr="00CA230A" w:rsidRDefault="00134EAB" w:rsidP="00134EAB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zarzuty;</w:t>
      </w:r>
    </w:p>
    <w:p w14:paraId="59040B72" w14:textId="77777777" w:rsidR="00134EAB" w:rsidRPr="00CA230A" w:rsidRDefault="00134EAB" w:rsidP="00134EAB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CA230A">
        <w:rPr>
          <w:rFonts w:eastAsia="Calibri" w:cs="Times New Roman"/>
          <w:kern w:val="0"/>
          <w14:ligatures w14:val="none"/>
        </w:rPr>
        <w:t>sprzeciw.</w:t>
      </w:r>
    </w:p>
    <w:p w14:paraId="0B37ED5C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eastAsia="Calibri" w:cs="Times New Roman"/>
          <w:strike/>
          <w:kern w:val="0"/>
          <w14:ligatures w14:val="none"/>
        </w:rPr>
      </w:pPr>
    </w:p>
    <w:p w14:paraId="2BB64589" w14:textId="77777777" w:rsidR="00B34EC7" w:rsidRPr="00CA230A" w:rsidRDefault="00B34EC7"/>
    <w:p w14:paraId="344E60A0" w14:textId="77777777" w:rsidR="00134EAB" w:rsidRPr="00CA230A" w:rsidRDefault="00134EAB" w:rsidP="00134EAB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  <w:r w:rsidRPr="00CA230A">
        <w:rPr>
          <w:rFonts w:eastAsia="Calibri" w:cs="Times New Roman"/>
          <w:b/>
          <w:color w:val="000000"/>
          <w:kern w:val="0"/>
          <w:u w:val="single"/>
          <w14:ligatures w14:val="none"/>
        </w:rPr>
        <w:t>PRAWO KARNE</w:t>
      </w:r>
    </w:p>
    <w:p w14:paraId="3DDDB83C" w14:textId="77777777" w:rsidR="00134EAB" w:rsidRPr="00CA230A" w:rsidRDefault="00134EAB" w:rsidP="00134EAB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CA230A">
        <w:rPr>
          <w:rFonts w:eastAsia="Calibri" w:cs="Times New Roman"/>
          <w:color w:val="000000"/>
          <w:kern w:val="0"/>
          <w14:ligatures w14:val="none"/>
        </w:rPr>
        <w:t>Prokurator Prokuratury Rejonowej w Piasecznie skierował do Sądu Rejonowego dla Warsza</w:t>
      </w:r>
      <w:r w:rsidRPr="00CA230A">
        <w:rPr>
          <w:rFonts w:eastAsia="Calibri" w:cs="Times New Roman"/>
          <w:color w:val="000000"/>
          <w:kern w:val="0"/>
          <w14:ligatures w14:val="none"/>
        </w:rPr>
        <w:softHyphen/>
        <w:t>wy-Śródmieścia w Warszawie akt oskarżenia przeciwko Krzysztofowi T. Oskarżonemu za</w:t>
      </w:r>
      <w:r w:rsidRPr="00CA230A">
        <w:rPr>
          <w:rFonts w:eastAsia="Calibri" w:cs="Times New Roman"/>
          <w:color w:val="000000"/>
          <w:kern w:val="0"/>
          <w14:ligatures w14:val="none"/>
        </w:rPr>
        <w:softHyphen/>
        <w:t>rzucono dokonanie przestępstwa określonego w art. 157 § 1 kk na szkodę Jacka G. Sprawa została zarejestrowana pod sygnaturą X K 120/24.</w:t>
      </w:r>
    </w:p>
    <w:p w14:paraId="7DF1B507" w14:textId="77777777" w:rsidR="00134EAB" w:rsidRPr="00CA230A" w:rsidRDefault="00134EAB" w:rsidP="00134EAB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CA230A">
        <w:rPr>
          <w:rFonts w:eastAsia="Calibri" w:cs="Times New Roman"/>
          <w:color w:val="000000"/>
          <w:kern w:val="0"/>
          <w14:ligatures w14:val="none"/>
        </w:rPr>
        <w:t>Na rozprawę w dniu 30 grudnia 2024r. stawił się oskarżony Krzysztof T. oraz pokrzywdzony Jacek G. Przed otwarciem przewodu sądowego Przewodniczący zapytał pokrzywdzonego, czy chce występować w sprawie w charakterze oskarżyciela posiłkowego. Pokrzywdzony od</w:t>
      </w:r>
      <w:r w:rsidRPr="00CA230A">
        <w:rPr>
          <w:rFonts w:eastAsia="Calibri" w:cs="Times New Roman"/>
          <w:color w:val="000000"/>
          <w:kern w:val="0"/>
          <w14:ligatures w14:val="none"/>
        </w:rPr>
        <w:softHyphen/>
        <w:t>powiedział, że nie – natomiast chciałby pozostać na sali w czasie składania wyjaśnień przez oskarżonego. W toku rozprawy oskarżony złożył wyjaśnienia i przesłuchano pokrzywdzo</w:t>
      </w:r>
      <w:r w:rsidRPr="00CA230A">
        <w:rPr>
          <w:rFonts w:eastAsia="Calibri" w:cs="Times New Roman"/>
          <w:color w:val="000000"/>
          <w:kern w:val="0"/>
          <w14:ligatures w14:val="none"/>
        </w:rPr>
        <w:softHyphen/>
        <w:t xml:space="preserve">nego. Po zamknięciu przewodu sądowego i naradzie Sąd wydał wyrok, którym uniewinnił Krzysztofa T. od dokonania zarzuconego mu czynu. </w:t>
      </w:r>
    </w:p>
    <w:p w14:paraId="3CBAC893" w14:textId="77777777" w:rsidR="00134EAB" w:rsidRPr="00CA230A" w:rsidRDefault="00134EAB" w:rsidP="00134EAB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CA230A">
        <w:rPr>
          <w:rFonts w:eastAsia="Calibri" w:cs="Times New Roman"/>
          <w:color w:val="000000"/>
          <w:kern w:val="0"/>
          <w14:ligatures w14:val="none"/>
        </w:rPr>
        <w:t>Wyrok ten bardzo wzburzył Jacka G., który już wychodząc z gmachu sądu w Biurze Obsługi Interesanta złożył pismo o treści:</w:t>
      </w:r>
    </w:p>
    <w:p w14:paraId="64AD9321" w14:textId="77777777" w:rsidR="00134EAB" w:rsidRPr="00CA230A" w:rsidRDefault="00134EAB" w:rsidP="00134EAB">
      <w:pPr>
        <w:spacing w:before="240" w:after="0" w:line="360" w:lineRule="auto"/>
        <w:ind w:left="0" w:right="0" w:firstLine="0"/>
        <w:jc w:val="left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CA230A">
        <w:rPr>
          <w:rFonts w:ascii="Verdana" w:eastAsia="Times New Roman" w:hAnsi="Verdana" w:cs="Times New Roman"/>
          <w:kern w:val="0"/>
          <w:lang w:eastAsia="pl-PL"/>
          <w14:ligatures w14:val="none"/>
        </w:rPr>
        <w:tab/>
      </w:r>
      <w:r w:rsidRPr="00CA230A">
        <w:rPr>
          <w:rFonts w:ascii="Arial" w:eastAsia="Times New Roman" w:hAnsi="Arial" w:cs="Arial"/>
          <w:i/>
          <w:kern w:val="0"/>
          <w:lang w:eastAsia="pl-PL"/>
          <w14:ligatures w14:val="none"/>
        </w:rPr>
        <w:t>X K 120/24</w:t>
      </w:r>
    </w:p>
    <w:p w14:paraId="71F2501F" w14:textId="77777777" w:rsidR="00134EAB" w:rsidRPr="00CA230A" w:rsidRDefault="00134EAB" w:rsidP="00134EAB">
      <w:pPr>
        <w:spacing w:after="0" w:line="360" w:lineRule="auto"/>
        <w:ind w:left="0" w:right="0" w:firstLine="0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  <w:r w:rsidRPr="00CA230A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</w:t>
      </w:r>
      <w:r w:rsidRPr="00CA230A">
        <w:rPr>
          <w:rFonts w:ascii="Arial" w:eastAsia="Times New Roman" w:hAnsi="Arial" w:cs="Arial"/>
          <w:i/>
          <w:kern w:val="0"/>
          <w:lang w:eastAsia="pl-PL"/>
          <w14:ligatures w14:val="none"/>
        </w:rPr>
        <w:tab/>
        <w:t>Wysoki Sądzie, wyrok jest bulwersujący, wnoszę o jego pisemne uzasad</w:t>
      </w:r>
      <w:r w:rsidRPr="00CA230A">
        <w:rPr>
          <w:rFonts w:ascii="Arial" w:eastAsia="Times New Roman" w:hAnsi="Arial" w:cs="Arial"/>
          <w:i/>
          <w:kern w:val="0"/>
          <w:lang w:eastAsia="pl-PL"/>
          <w14:ligatures w14:val="none"/>
        </w:rPr>
        <w:softHyphen/>
        <w:t>nienie.</w:t>
      </w:r>
    </w:p>
    <w:p w14:paraId="77F8AE1E" w14:textId="77777777" w:rsidR="00134EAB" w:rsidRPr="00CA230A" w:rsidRDefault="00134EAB" w:rsidP="00134EAB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CA230A">
        <w:rPr>
          <w:rFonts w:eastAsia="Calibri" w:cs="Times New Roman"/>
          <w:color w:val="000000"/>
          <w:kern w:val="0"/>
          <w14:ligatures w14:val="none"/>
        </w:rPr>
        <w:t>Miejsce przeznaczone na podpis pozostało puste.</w:t>
      </w:r>
    </w:p>
    <w:p w14:paraId="1A3CB4A7" w14:textId="77777777" w:rsidR="00134EAB" w:rsidRPr="00CA230A" w:rsidRDefault="00134EAB" w:rsidP="00134EAB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b/>
          <w:color w:val="000000"/>
          <w:kern w:val="0"/>
          <w14:ligatures w14:val="none"/>
        </w:rPr>
      </w:pPr>
      <w:r w:rsidRPr="00CA230A">
        <w:rPr>
          <w:rFonts w:eastAsia="Calibri" w:cs="Times New Roman"/>
          <w:b/>
          <w:color w:val="000000"/>
          <w:kern w:val="0"/>
          <w14:ligatures w14:val="none"/>
        </w:rPr>
        <w:lastRenderedPageBreak/>
        <w:t>Proszę przygotować projekt rozstrzygnięcia, które powinno zostać wydane w opisanym stanie faktycznym (wraz z niezbędnymi zarządzeniami i pouczeniami).</w:t>
      </w:r>
    </w:p>
    <w:p w14:paraId="586FD475" w14:textId="77777777" w:rsidR="00134EAB" w:rsidRDefault="00134EAB"/>
    <w:sectPr w:rsidR="00134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5ED4D0B"/>
    <w:multiLevelType w:val="hybridMultilevel"/>
    <w:tmpl w:val="5AD62B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122EDB"/>
    <w:multiLevelType w:val="hybridMultilevel"/>
    <w:tmpl w:val="B832DC74"/>
    <w:lvl w:ilvl="0" w:tplc="C8F8512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17F2EA6"/>
    <w:multiLevelType w:val="hybridMultilevel"/>
    <w:tmpl w:val="B832DC74"/>
    <w:lvl w:ilvl="0" w:tplc="C8F8512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041E3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F9C1EAB"/>
    <w:multiLevelType w:val="hybridMultilevel"/>
    <w:tmpl w:val="B832DC74"/>
    <w:lvl w:ilvl="0" w:tplc="C8F8512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2732177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466265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742EB1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99D59A9"/>
    <w:multiLevelType w:val="hybridMultilevel"/>
    <w:tmpl w:val="EFCC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D63E4"/>
    <w:multiLevelType w:val="hybridMultilevel"/>
    <w:tmpl w:val="EFCC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257EA"/>
    <w:multiLevelType w:val="hybridMultilevel"/>
    <w:tmpl w:val="B832DC74"/>
    <w:lvl w:ilvl="0" w:tplc="C8F8512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C37388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703C7B04"/>
    <w:multiLevelType w:val="hybridMultilevel"/>
    <w:tmpl w:val="B832DC74"/>
    <w:lvl w:ilvl="0" w:tplc="C8F8512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77467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18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6"/>
  </w:num>
  <w:num w:numId="5" w16cid:durableId="828248301">
    <w:abstractNumId w:val="10"/>
  </w:num>
  <w:num w:numId="6" w16cid:durableId="1118718471">
    <w:abstractNumId w:val="0"/>
  </w:num>
  <w:num w:numId="7" w16cid:durableId="2125346930">
    <w:abstractNumId w:val="19"/>
  </w:num>
  <w:num w:numId="8" w16cid:durableId="334578891">
    <w:abstractNumId w:val="2"/>
  </w:num>
  <w:num w:numId="9" w16cid:durableId="950160564">
    <w:abstractNumId w:val="3"/>
  </w:num>
  <w:num w:numId="10" w16cid:durableId="504176909">
    <w:abstractNumId w:val="13"/>
  </w:num>
  <w:num w:numId="11" w16cid:durableId="54789436">
    <w:abstractNumId w:val="17"/>
  </w:num>
  <w:num w:numId="12" w16cid:durableId="1323898391">
    <w:abstractNumId w:val="1"/>
  </w:num>
  <w:num w:numId="13" w16cid:durableId="972296320">
    <w:abstractNumId w:val="15"/>
  </w:num>
  <w:num w:numId="14" w16cid:durableId="1987128434">
    <w:abstractNumId w:val="8"/>
  </w:num>
  <w:num w:numId="15" w16cid:durableId="1938633031">
    <w:abstractNumId w:val="4"/>
  </w:num>
  <w:num w:numId="16" w16cid:durableId="837160042">
    <w:abstractNumId w:val="5"/>
  </w:num>
  <w:num w:numId="17" w16cid:durableId="1355033469">
    <w:abstractNumId w:val="14"/>
  </w:num>
  <w:num w:numId="18" w16cid:durableId="1156073850">
    <w:abstractNumId w:val="20"/>
  </w:num>
  <w:num w:numId="19" w16cid:durableId="140003877">
    <w:abstractNumId w:val="22"/>
  </w:num>
  <w:num w:numId="20" w16cid:durableId="1204444617">
    <w:abstractNumId w:val="12"/>
  </w:num>
  <w:num w:numId="21" w16cid:durableId="433675834">
    <w:abstractNumId w:val="9"/>
  </w:num>
  <w:num w:numId="22" w16cid:durableId="445123633">
    <w:abstractNumId w:val="11"/>
  </w:num>
  <w:num w:numId="23" w16cid:durableId="797912978">
    <w:abstractNumId w:val="7"/>
  </w:num>
  <w:num w:numId="24" w16cid:durableId="3082895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AB"/>
    <w:rsid w:val="00134EAB"/>
    <w:rsid w:val="0017340A"/>
    <w:rsid w:val="001F578F"/>
    <w:rsid w:val="003050FA"/>
    <w:rsid w:val="003C5056"/>
    <w:rsid w:val="00404812"/>
    <w:rsid w:val="004E23CD"/>
    <w:rsid w:val="005C688C"/>
    <w:rsid w:val="00886BAA"/>
    <w:rsid w:val="009A74E1"/>
    <w:rsid w:val="00B34EC7"/>
    <w:rsid w:val="00BB48D1"/>
    <w:rsid w:val="00C32AF7"/>
    <w:rsid w:val="00C66091"/>
    <w:rsid w:val="00CA230A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8EA3"/>
  <w15:chartTrackingRefBased/>
  <w15:docId w15:val="{68CE4B50-1645-4874-8A91-022597EA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4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4E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E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E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E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E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E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E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34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4E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E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E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E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E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E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E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4E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4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EAB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4E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4E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4E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4E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4E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E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4E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1148</Words>
  <Characters>6890</Characters>
  <Application>Microsoft Office Word</Application>
  <DocSecurity>0</DocSecurity>
  <Lines>57</Lines>
  <Paragraphs>16</Paragraphs>
  <ScaleCrop>false</ScaleCrop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2026-07-22T14:21:00Z</dcterms:created>
  <dcterms:modified xsi:type="dcterms:W3CDTF">2026-07-30T07:41:00Z</dcterms:modified>
</cp:coreProperties>
</file>