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BC9B" w14:textId="77777777" w:rsidR="00DE2225" w:rsidRPr="00A25B91" w:rsidRDefault="00DE2225" w:rsidP="00DE2225">
      <w:pPr>
        <w:spacing w:after="0" w:line="360" w:lineRule="auto"/>
        <w:ind w:left="0" w:right="0" w:hanging="142"/>
        <w:jc w:val="center"/>
        <w:rPr>
          <w:rFonts w:eastAsia="Calibri" w:cs="Times New Roman"/>
          <w:b/>
          <w:kern w:val="0"/>
          <w:u w:val="single"/>
          <w14:ligatures w14:val="none"/>
        </w:rPr>
      </w:pPr>
      <w:r w:rsidRPr="00A25B91">
        <w:rPr>
          <w:rFonts w:eastAsia="Calibri" w:cs="Times New Roman"/>
          <w:b/>
          <w:kern w:val="0"/>
          <w:u w:val="single"/>
          <w14:ligatures w14:val="none"/>
        </w:rPr>
        <w:t>Pytania z zakresu prawa cywilnego oraz postępowania cywilnego</w:t>
      </w:r>
    </w:p>
    <w:p w14:paraId="48CE4AF1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D1DE814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Pełną zdolność do czynności prawnych nabywa się:</w:t>
      </w:r>
    </w:p>
    <w:p w14:paraId="6F5D09A6" w14:textId="77777777" w:rsidR="00DE2225" w:rsidRPr="00A25B91" w:rsidRDefault="00DE2225" w:rsidP="00DE2225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z ukończeniem lat 17;</w:t>
      </w:r>
    </w:p>
    <w:p w14:paraId="5F4822F5" w14:textId="77777777" w:rsidR="00DE2225" w:rsidRPr="00A25B91" w:rsidRDefault="00DE2225" w:rsidP="00DE2225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z ukończeniem lat 18;</w:t>
      </w:r>
    </w:p>
    <w:p w14:paraId="6D72025E" w14:textId="77777777" w:rsidR="00DE2225" w:rsidRPr="00A25B91" w:rsidRDefault="00DE2225" w:rsidP="00DE2225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z ukończeniem lat 21.</w:t>
      </w:r>
    </w:p>
    <w:p w14:paraId="49D1C988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02D4A24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Zgodnie z Kodeksem cywilnym, nie można czynić ze swego prawa użytku, który by był sprzeczny ze społeczno-gospodarczym przeznaczeniem tego prawa lub z zasa</w:t>
      </w:r>
      <w:r w:rsidRPr="00A25B91">
        <w:rPr>
          <w:rFonts w:eastAsia="Calibri" w:cs="Times New Roman"/>
          <w:b/>
          <w:kern w:val="0"/>
          <w14:ligatures w14:val="none"/>
        </w:rPr>
        <w:softHyphen/>
        <w:t>dami współżycia społecznego; takie działanie lub zaniechanie uprawnionego:</w:t>
      </w:r>
    </w:p>
    <w:p w14:paraId="3481F17D" w14:textId="77777777" w:rsidR="00DE2225" w:rsidRPr="00A25B91" w:rsidRDefault="00DE2225" w:rsidP="00DE2225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jest jednakże uważane za wykonywanie prawa i korzysta z ochrony;</w:t>
      </w:r>
    </w:p>
    <w:p w14:paraId="781A1AE7" w14:textId="77777777" w:rsidR="00DE2225" w:rsidRPr="00A25B91" w:rsidRDefault="00DE2225" w:rsidP="00DE2225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nie jest uważane za wykonywanie prawa i nie korzysta z ochrony;</w:t>
      </w:r>
    </w:p>
    <w:p w14:paraId="1C870F99" w14:textId="77777777" w:rsidR="00DE2225" w:rsidRPr="00A25B91" w:rsidRDefault="00DE2225" w:rsidP="00DE2225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nie jest uważane za wykonywanie prawa, jednakże korzysta z ochrony.</w:t>
      </w:r>
    </w:p>
    <w:p w14:paraId="046E27D8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0FB32FB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Miejscem zamieszkania osoby fizycznej:</w:t>
      </w:r>
    </w:p>
    <w:p w14:paraId="0FDF92CA" w14:textId="77777777" w:rsidR="00DE2225" w:rsidRPr="00A25B91" w:rsidRDefault="00DE2225" w:rsidP="00DE2225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jest miejscowość, w której jest ona zameldowana;</w:t>
      </w:r>
    </w:p>
    <w:p w14:paraId="0F0F0D6D" w14:textId="77777777" w:rsidR="00DE2225" w:rsidRPr="00A25B91" w:rsidRDefault="00DE2225" w:rsidP="00DE2225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jest miejscowość, w której osoba ta przebywa co najmniej od roku;</w:t>
      </w:r>
    </w:p>
    <w:p w14:paraId="4F82D15C" w14:textId="77777777" w:rsidR="00DE2225" w:rsidRPr="00A25B91" w:rsidRDefault="00DE2225" w:rsidP="00DE2225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jest miejscowość, w której osoba ta przebywa z zamiarem stałego pobytu.</w:t>
      </w:r>
    </w:p>
    <w:p w14:paraId="68A68A31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b/>
          <w:kern w:val="0"/>
          <w14:ligatures w14:val="none"/>
        </w:rPr>
      </w:pPr>
    </w:p>
    <w:p w14:paraId="5810567C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 xml:space="preserve">Proszę wskazać zdanie prawdziwe – </w:t>
      </w:r>
      <w:r w:rsidRPr="00A25B91">
        <w:rPr>
          <w:rFonts w:eastAsia="Calibri" w:cs="Times New Roman"/>
          <w:kern w:val="0"/>
          <w14:ligatures w14:val="none"/>
        </w:rPr>
        <w:t>Osobami prawnymi są:</w:t>
      </w:r>
    </w:p>
    <w:p w14:paraId="05D2C757" w14:textId="77777777" w:rsidR="00DE2225" w:rsidRPr="00A25B91" w:rsidRDefault="00DE2225" w:rsidP="00DE2225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Skarb Państwa i inne podmioty, w których Skarb Państwa posiada lub dysponuje po</w:t>
      </w:r>
      <w:r w:rsidRPr="00A25B91">
        <w:rPr>
          <w:rFonts w:eastAsia="Calibri" w:cs="Times New Roman"/>
          <w:kern w:val="0"/>
          <w14:ligatures w14:val="none"/>
        </w:rPr>
        <w:softHyphen/>
        <w:t>nad 50% akcji lub udziałów;</w:t>
      </w:r>
    </w:p>
    <w:p w14:paraId="0236047D" w14:textId="77777777" w:rsidR="00DE2225" w:rsidRPr="00A25B91" w:rsidRDefault="00DE2225" w:rsidP="00DE2225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 xml:space="preserve">Skarb Państwa i jednostki organizacyjne, którym </w:t>
      </w:r>
      <w:hyperlink r:id="rId5" w:anchor="/search-hypertext/16785996_art(33)_1?pit=2023-09-14" w:tgtFrame="_blank" w:history="1">
        <w:r w:rsidRPr="00A25B91">
          <w:rPr>
            <w:rFonts w:eastAsia="Calibri" w:cs="Times New Roman"/>
            <w:kern w:val="0"/>
            <w14:ligatures w14:val="none"/>
          </w:rPr>
          <w:t>przepisy</w:t>
        </w:r>
      </w:hyperlink>
      <w:r w:rsidRPr="00A25B91">
        <w:rPr>
          <w:rFonts w:eastAsia="Calibri" w:cs="Times New Roman"/>
          <w:kern w:val="0"/>
          <w14:ligatures w14:val="none"/>
        </w:rPr>
        <w:t xml:space="preserve"> szczególne przyznają oso</w:t>
      </w:r>
      <w:r w:rsidRPr="00A25B91">
        <w:rPr>
          <w:rFonts w:eastAsia="Calibri" w:cs="Times New Roman"/>
          <w:kern w:val="0"/>
          <w14:ligatures w14:val="none"/>
        </w:rPr>
        <w:softHyphen/>
        <w:t>bowość prawną;</w:t>
      </w:r>
    </w:p>
    <w:p w14:paraId="6D56E582" w14:textId="77777777" w:rsidR="00DE2225" w:rsidRPr="00A25B91" w:rsidRDefault="00DE2225" w:rsidP="00DE2225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Skarb Państwa i spółki prawa handlowego.</w:t>
      </w:r>
    </w:p>
    <w:p w14:paraId="39AF8B9D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E8BD948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Część składowa rzeczy:</w:t>
      </w:r>
    </w:p>
    <w:p w14:paraId="761B716D" w14:textId="77777777" w:rsidR="00DE2225" w:rsidRPr="00A25B91" w:rsidRDefault="00DE2225" w:rsidP="00DE2225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Times New Roman" w:cs="Times New Roman"/>
          <w:kern w:val="0"/>
          <w:lang w:eastAsia="pl-PL"/>
          <w14:ligatures w14:val="none"/>
        </w:rPr>
        <w:t>może być odrębnym przedmiotem własności i innych praw rzeczowych, o ile strony tak postanowiły;</w:t>
      </w:r>
    </w:p>
    <w:p w14:paraId="15DB4D60" w14:textId="77777777" w:rsidR="00DE2225" w:rsidRPr="00A25B91" w:rsidRDefault="00DE2225" w:rsidP="00DE2225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Times New Roman" w:cs="Times New Roman"/>
          <w:kern w:val="0"/>
          <w:lang w:eastAsia="pl-PL"/>
          <w14:ligatures w14:val="none"/>
        </w:rPr>
        <w:t>to synonim przynależności rzeczy</w:t>
      </w:r>
      <w:r w:rsidRPr="00A25B91">
        <w:rPr>
          <w:rFonts w:eastAsia="Calibri" w:cs="Times New Roman"/>
          <w:kern w:val="0"/>
          <w14:ligatures w14:val="none"/>
        </w:rPr>
        <w:t>;</w:t>
      </w:r>
    </w:p>
    <w:p w14:paraId="19340936" w14:textId="77777777" w:rsidR="00DE2225" w:rsidRPr="00A25B91" w:rsidRDefault="00DE2225" w:rsidP="00DE2225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Times New Roman" w:cs="Times New Roman"/>
          <w:kern w:val="0"/>
          <w:lang w:eastAsia="pl-PL"/>
          <w14:ligatures w14:val="none"/>
        </w:rPr>
        <w:t>nie może być odrębnym przedmiotem własności i innych praw rzeczowych</w:t>
      </w:r>
      <w:r w:rsidRPr="00A25B91">
        <w:rPr>
          <w:rFonts w:eastAsia="Calibri" w:cs="Times New Roman"/>
          <w:kern w:val="0"/>
          <w14:ligatures w14:val="none"/>
        </w:rPr>
        <w:t>.</w:t>
      </w:r>
    </w:p>
    <w:p w14:paraId="7C520BF8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2A22180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0EC27CE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Ograniczonym prawem rzeczowym jest:</w:t>
      </w:r>
    </w:p>
    <w:p w14:paraId="0EBFF0DE" w14:textId="77777777" w:rsidR="00DE2225" w:rsidRPr="00A25B91" w:rsidRDefault="00DE2225" w:rsidP="00DE2225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lastRenderedPageBreak/>
        <w:t>najem;</w:t>
      </w:r>
    </w:p>
    <w:p w14:paraId="74881EC1" w14:textId="77777777" w:rsidR="00DE2225" w:rsidRPr="00A25B91" w:rsidRDefault="00DE2225" w:rsidP="00DE2225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służebność;</w:t>
      </w:r>
    </w:p>
    <w:p w14:paraId="2510D577" w14:textId="77777777" w:rsidR="00DE2225" w:rsidRPr="00A25B91" w:rsidRDefault="00DE2225" w:rsidP="00DE2225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użytkowanie wieczyste.</w:t>
      </w:r>
    </w:p>
    <w:p w14:paraId="11D9F9BE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24EBABF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Zgodnie z kodeksem cywilnym oświadczenie woli złożone przez osobę, która z ja</w:t>
      </w:r>
      <w:r w:rsidRPr="00A25B91">
        <w:rPr>
          <w:rFonts w:eastAsia="Calibri" w:cs="Times New Roman"/>
          <w:b/>
          <w:kern w:val="0"/>
          <w14:ligatures w14:val="none"/>
        </w:rPr>
        <w:softHyphen/>
        <w:t>kichkolwiek powodów znajdowała się w stanie wyłączającym świadome albo swo</w:t>
      </w:r>
      <w:r w:rsidRPr="00A25B91">
        <w:rPr>
          <w:rFonts w:eastAsia="Calibri" w:cs="Times New Roman"/>
          <w:b/>
          <w:kern w:val="0"/>
          <w14:ligatures w14:val="none"/>
        </w:rPr>
        <w:softHyphen/>
        <w:t>bodne powzięcie decyzji i wyrażenie woli, jest:</w:t>
      </w:r>
    </w:p>
    <w:p w14:paraId="515F3197" w14:textId="77777777" w:rsidR="00DE2225" w:rsidRPr="00A25B91" w:rsidRDefault="00DE2225" w:rsidP="00DE2225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bezskuteczne;</w:t>
      </w:r>
    </w:p>
    <w:p w14:paraId="4BFE3F9A" w14:textId="77777777" w:rsidR="00DE2225" w:rsidRPr="00A25B91" w:rsidRDefault="00DE2225" w:rsidP="00DE2225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nieważne;</w:t>
      </w:r>
    </w:p>
    <w:p w14:paraId="73DAD74D" w14:textId="77777777" w:rsidR="00DE2225" w:rsidRPr="00A25B91" w:rsidRDefault="00DE2225" w:rsidP="00DE2225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ważne, ale można uchylić się od skutków prawnych tego oświadczenia.</w:t>
      </w:r>
    </w:p>
    <w:p w14:paraId="2D829571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5ABDC42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Jeżeli do ważności czynności prawnej potrzebna jest szczególna forma – pełnomoc</w:t>
      </w:r>
      <w:r w:rsidRPr="00A25B91">
        <w:rPr>
          <w:rFonts w:eastAsia="Calibri" w:cs="Times New Roman"/>
          <w:b/>
          <w:kern w:val="0"/>
          <w14:ligatures w14:val="none"/>
        </w:rPr>
        <w:softHyphen/>
        <w:t>nictwo do tej czynności:</w:t>
      </w:r>
    </w:p>
    <w:p w14:paraId="2D2D790A" w14:textId="77777777" w:rsidR="00DE2225" w:rsidRPr="00A25B91" w:rsidRDefault="00DE2225" w:rsidP="00DE2225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może być udzielone w formie pisemnej z podpisem notarialnie poświadczonym;</w:t>
      </w:r>
    </w:p>
    <w:p w14:paraId="44893CCA" w14:textId="77777777" w:rsidR="00DE2225" w:rsidRPr="00A25B91" w:rsidRDefault="00DE2225" w:rsidP="00DE2225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powinno być udzielone na piśmie z datą pewną;</w:t>
      </w:r>
    </w:p>
    <w:p w14:paraId="5FEDE826" w14:textId="77777777" w:rsidR="00DE2225" w:rsidRPr="00A25B91" w:rsidRDefault="00DE2225" w:rsidP="00DE2225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powinno być udzielone w tej samej formie.</w:t>
      </w:r>
    </w:p>
    <w:p w14:paraId="44EFE0AE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18B5C1C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Po upływie terminu przedawnienia nie można domagać się zaspokojenia roszczenia przysługującego przeciwko:</w:t>
      </w:r>
    </w:p>
    <w:p w14:paraId="1A598367" w14:textId="77777777" w:rsidR="00DE2225" w:rsidRPr="00A25B91" w:rsidRDefault="00DE2225" w:rsidP="00DE2225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przedsiębiorcy;</w:t>
      </w:r>
    </w:p>
    <w:p w14:paraId="7712C91A" w14:textId="77777777" w:rsidR="00DE2225" w:rsidRPr="00A25B91" w:rsidRDefault="00DE2225" w:rsidP="00DE2225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konsumentowi;</w:t>
      </w:r>
    </w:p>
    <w:p w14:paraId="26B9DD9D" w14:textId="77777777" w:rsidR="00DE2225" w:rsidRPr="00A25B91" w:rsidRDefault="00DE2225" w:rsidP="00DE2225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małoletniemu.</w:t>
      </w:r>
    </w:p>
    <w:p w14:paraId="43778A8E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C0B3E1B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Owoce opadłe z drzewa lub krzewu na grunt sąsiedni stanowią</w:t>
      </w:r>
      <w:r w:rsidRPr="00A25B91">
        <w:rPr>
          <w:rFonts w:eastAsia="Calibri" w:cs="Times New Roman"/>
          <w:kern w:val="0"/>
          <w14:ligatures w14:val="none"/>
        </w:rPr>
        <w:t>:</w:t>
      </w:r>
    </w:p>
    <w:p w14:paraId="365A6774" w14:textId="77777777" w:rsidR="00DE2225" w:rsidRPr="00A25B91" w:rsidRDefault="00DE2225" w:rsidP="00DE2225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co do zasady pożytki gruntu sąsiedniego;</w:t>
      </w:r>
    </w:p>
    <w:p w14:paraId="453F9838" w14:textId="77777777" w:rsidR="00DE2225" w:rsidRPr="00A25B91" w:rsidRDefault="00DE2225" w:rsidP="00DE2225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własność niczyją;</w:t>
      </w:r>
    </w:p>
    <w:p w14:paraId="33BF7655" w14:textId="77777777" w:rsidR="00DE2225" w:rsidRPr="00A25B91" w:rsidRDefault="00DE2225" w:rsidP="00DE2225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zawsze własność właściciela gruntu, na którym zasadzono drzewa lub krzewy.</w:t>
      </w:r>
    </w:p>
    <w:p w14:paraId="532B7A7D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A204326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Art. 415 kc stanowi: Kto z winy swej wyrządził drugiemu szkodę, obowiązany jest do jej naprawienia. Przepis ten definiuje:</w:t>
      </w:r>
    </w:p>
    <w:p w14:paraId="62BCBA1B" w14:textId="77777777" w:rsidR="00DE2225" w:rsidRPr="00A25B91" w:rsidRDefault="00DE2225" w:rsidP="00DE2225">
      <w:pPr>
        <w:numPr>
          <w:ilvl w:val="0"/>
          <w:numId w:val="2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odpowiedzialność kontraktową;</w:t>
      </w:r>
    </w:p>
    <w:p w14:paraId="7D3C8B93" w14:textId="77777777" w:rsidR="00DE2225" w:rsidRPr="00A25B91" w:rsidRDefault="00DE2225" w:rsidP="00DE2225">
      <w:pPr>
        <w:numPr>
          <w:ilvl w:val="0"/>
          <w:numId w:val="2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odpowiedzialność in solidum;</w:t>
      </w:r>
    </w:p>
    <w:p w14:paraId="16C38A94" w14:textId="77777777" w:rsidR="00DE2225" w:rsidRPr="00A25B91" w:rsidRDefault="00DE2225" w:rsidP="00DE2225">
      <w:pPr>
        <w:numPr>
          <w:ilvl w:val="0"/>
          <w:numId w:val="2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odpowiedzialność deliktową.</w:t>
      </w:r>
    </w:p>
    <w:p w14:paraId="66A81320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8F297C7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lastRenderedPageBreak/>
        <w:t>Kodeks cywilny jedną z uregulowanych w nim umów definiuje następująco: jedna strona zobowiązuje się zezwolić drugiej stronie, przez czas oznaczony lub nieoznaczony, na bezpłatne używanie oddanej mu w tym celu rzeczy. Jaka ta umowa?</w:t>
      </w:r>
    </w:p>
    <w:p w14:paraId="6DB58F5F" w14:textId="77777777" w:rsidR="00DE2225" w:rsidRPr="00A25B91" w:rsidRDefault="00DE2225" w:rsidP="00DE2225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użytkowanie;</w:t>
      </w:r>
    </w:p>
    <w:p w14:paraId="694A26CC" w14:textId="77777777" w:rsidR="00DE2225" w:rsidRPr="00A25B91" w:rsidRDefault="00DE2225" w:rsidP="00DE2225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użyczenie;</w:t>
      </w:r>
    </w:p>
    <w:p w14:paraId="5CBF408A" w14:textId="77777777" w:rsidR="00DE2225" w:rsidRPr="00A25B91" w:rsidRDefault="00DE2225" w:rsidP="00DE2225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najem.</w:t>
      </w:r>
    </w:p>
    <w:p w14:paraId="301BE592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942DA0C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Zachowek – co do zasady – przysługuje:</w:t>
      </w:r>
    </w:p>
    <w:p w14:paraId="54B3C730" w14:textId="77777777" w:rsidR="00DE2225" w:rsidRPr="00A25B91" w:rsidRDefault="00DE2225" w:rsidP="00DE2225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byłemu małżonkowi spadkodawcy, o ile rozwód małżonków orzeczono bez orzekania o winie;</w:t>
      </w:r>
    </w:p>
    <w:p w14:paraId="0FED6B8F" w14:textId="77777777" w:rsidR="00DE2225" w:rsidRPr="00A25B91" w:rsidRDefault="00DE2225" w:rsidP="00DE2225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zstępnym, małżonkowi oraz rodzicom spadkodawcy, którzy byliby powołani do spad</w:t>
      </w:r>
      <w:r w:rsidRPr="00A25B91">
        <w:rPr>
          <w:rFonts w:eastAsia="Calibri" w:cs="Times New Roman"/>
          <w:kern w:val="0"/>
          <w14:ligatures w14:val="none"/>
        </w:rPr>
        <w:softHyphen/>
        <w:t>ku z ustawy;</w:t>
      </w:r>
    </w:p>
    <w:p w14:paraId="22440EBD" w14:textId="77777777" w:rsidR="00DE2225" w:rsidRPr="00A25B91" w:rsidRDefault="00DE2225" w:rsidP="00DE2225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spadkobiercy wymienionemu w testamencie, który następnie został odwołany.</w:t>
      </w:r>
    </w:p>
    <w:p w14:paraId="27F62E92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b/>
          <w:kern w:val="0"/>
          <w14:ligatures w14:val="none"/>
        </w:rPr>
      </w:pPr>
    </w:p>
    <w:p w14:paraId="2A655C93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Zgodnie z kodeksem postępowania cywilnego, w zakresie czynności przewodniczą</w:t>
      </w:r>
      <w:r w:rsidRPr="00A25B91">
        <w:rPr>
          <w:rFonts w:eastAsia="Calibri" w:cs="Times New Roman"/>
          <w:b/>
          <w:kern w:val="0"/>
          <w14:ligatures w14:val="none"/>
        </w:rPr>
        <w:softHyphen/>
        <w:t>cego asystent sędziego może wydawać:</w:t>
      </w:r>
    </w:p>
    <w:p w14:paraId="0D9D3C76" w14:textId="77777777" w:rsidR="00DE2225" w:rsidRPr="00A25B91" w:rsidRDefault="00DE2225" w:rsidP="00DE2225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wszystkie zarządzenia;</w:t>
      </w:r>
    </w:p>
    <w:p w14:paraId="6425322A" w14:textId="77777777" w:rsidR="00DE2225" w:rsidRPr="00A25B91" w:rsidRDefault="00DE2225" w:rsidP="00DE2225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tylko zarządzenia o zwrocie pisma procesowego, w tym pozwu;</w:t>
      </w:r>
    </w:p>
    <w:p w14:paraId="0202510D" w14:textId="77777777" w:rsidR="00DE2225" w:rsidRPr="00A25B91" w:rsidRDefault="00DE2225" w:rsidP="00DE2225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zarządzenia, z wyjątkiem zarządzenia o zwrocie pisma procesowego, w tym pozwu.</w:t>
      </w:r>
    </w:p>
    <w:p w14:paraId="2DEC0065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1D7DDA9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Nieważność postępowania zachodzi, gdy:</w:t>
      </w:r>
    </w:p>
    <w:p w14:paraId="615F8B5D" w14:textId="77777777" w:rsidR="00DE2225" w:rsidRPr="00A25B91" w:rsidRDefault="00DE2225" w:rsidP="00DE2225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w sprawie orzekł sąd rejonowy, pomimo że do rozpoznania tej sprawy jest właściwy sąd okręgowy bez względu na wartość przedmiotu sporu;</w:t>
      </w:r>
    </w:p>
    <w:p w14:paraId="29724900" w14:textId="77777777" w:rsidR="00DE2225" w:rsidRPr="00A25B91" w:rsidRDefault="00DE2225" w:rsidP="00DE2225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w sprawie o stwierdzenie nabycia spadku orzekł sąd okręgowy;</w:t>
      </w:r>
    </w:p>
    <w:p w14:paraId="20675327" w14:textId="77777777" w:rsidR="00DE2225" w:rsidRPr="00A25B91" w:rsidRDefault="00DE2225" w:rsidP="00DE2225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w sprawie o zapłatę kwoty 500.000 zł orzekł sąd rejonowy.</w:t>
      </w:r>
    </w:p>
    <w:p w14:paraId="36EDC3F4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A8337BD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Zgodnie z Kodeksem postępowania cywilnego, sąd w postępowaniu cywilnym jest związany ustaleniami:</w:t>
      </w:r>
    </w:p>
    <w:p w14:paraId="76FE2E2A" w14:textId="77777777" w:rsidR="00DE2225" w:rsidRPr="00A25B91" w:rsidRDefault="00DE2225" w:rsidP="00DE2225">
      <w:pPr>
        <w:numPr>
          <w:ilvl w:val="0"/>
          <w:numId w:val="2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dokonanymi w sprawie karnej zakończonej wydaniem orzeczenia o warunkowym umorzeniu postępowania;</w:t>
      </w:r>
    </w:p>
    <w:p w14:paraId="103DFFAA" w14:textId="77777777" w:rsidR="00DE2225" w:rsidRPr="00A25B91" w:rsidRDefault="00DE2225" w:rsidP="00DE2225">
      <w:pPr>
        <w:numPr>
          <w:ilvl w:val="0"/>
          <w:numId w:val="2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wydanego w postępowaniu karnym prawomocnego wyroku skazującego co do popeł</w:t>
      </w:r>
      <w:r w:rsidRPr="00A25B91">
        <w:rPr>
          <w:rFonts w:eastAsia="Calibri" w:cs="Times New Roman"/>
          <w:kern w:val="0"/>
          <w14:ligatures w14:val="none"/>
        </w:rPr>
        <w:softHyphen/>
        <w:t xml:space="preserve">nienia przestępstwa; jednakże osoba, która nie była oskarżona, może powoływać się </w:t>
      </w:r>
      <w:r w:rsidRPr="00A25B91">
        <w:rPr>
          <w:rFonts w:eastAsia="Calibri" w:cs="Times New Roman"/>
          <w:kern w:val="0"/>
          <w14:ligatures w14:val="none"/>
        </w:rPr>
        <w:lastRenderedPageBreak/>
        <w:t>w postępowaniu cywilnym na wszelkie okoliczności wyłączające lub ograniczające jej odpowiedzialność cywilną;</w:t>
      </w:r>
    </w:p>
    <w:p w14:paraId="3585E0B8" w14:textId="77777777" w:rsidR="00DE2225" w:rsidRPr="00A25B91" w:rsidRDefault="00DE2225" w:rsidP="00DE2225">
      <w:pPr>
        <w:numPr>
          <w:ilvl w:val="0"/>
          <w:numId w:val="2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wydanego w postępowaniu karnym prawomocnego wyroku uniewinniającego oskar</w:t>
      </w:r>
      <w:r w:rsidRPr="00A25B91">
        <w:rPr>
          <w:rFonts w:eastAsia="Calibri" w:cs="Times New Roman"/>
          <w:kern w:val="0"/>
          <w14:ligatures w14:val="none"/>
        </w:rPr>
        <w:softHyphen/>
        <w:t>żonego.</w:t>
      </w:r>
    </w:p>
    <w:p w14:paraId="6C0AC304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3E857ED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W postępowaniu nieprocesowym, od incydentalnych postanowień sądu I instancji przysługuje:</w:t>
      </w:r>
    </w:p>
    <w:p w14:paraId="33821975" w14:textId="77777777" w:rsidR="00DE2225" w:rsidRPr="00A25B91" w:rsidRDefault="00DE2225" w:rsidP="00DE2225">
      <w:pPr>
        <w:numPr>
          <w:ilvl w:val="0"/>
          <w:numId w:val="1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zastrzeżenie;</w:t>
      </w:r>
    </w:p>
    <w:p w14:paraId="211768CF" w14:textId="77777777" w:rsidR="00DE2225" w:rsidRPr="00A25B91" w:rsidRDefault="00DE2225" w:rsidP="00DE2225">
      <w:pPr>
        <w:numPr>
          <w:ilvl w:val="0"/>
          <w:numId w:val="1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zażalenie;</w:t>
      </w:r>
    </w:p>
    <w:p w14:paraId="1A1C95BC" w14:textId="77777777" w:rsidR="00DE2225" w:rsidRPr="00A25B91" w:rsidRDefault="00DE2225" w:rsidP="00DE2225">
      <w:pPr>
        <w:numPr>
          <w:ilvl w:val="0"/>
          <w:numId w:val="1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skarga.</w:t>
      </w:r>
    </w:p>
    <w:p w14:paraId="55A8FA2E" w14:textId="77777777" w:rsidR="00DE2225" w:rsidRPr="00A25B91" w:rsidRDefault="00DE2225" w:rsidP="00DE2225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E9288FB" w14:textId="77777777" w:rsidR="00DE2225" w:rsidRPr="00A25B91" w:rsidRDefault="00DE2225" w:rsidP="00DE2225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A25B91">
        <w:rPr>
          <w:rFonts w:eastAsia="Calibri" w:cs="Times New Roman"/>
          <w:b/>
          <w:kern w:val="0"/>
          <w14:ligatures w14:val="none"/>
        </w:rPr>
        <w:t>W przypadku, w którym mimo niesporządzenia aktu zgonu śmierć człowieka jest niewątpliwa toczyć się będzie postępowanie:</w:t>
      </w:r>
    </w:p>
    <w:p w14:paraId="669DEFF4" w14:textId="77777777" w:rsidR="00DE2225" w:rsidRPr="00A25B91" w:rsidRDefault="00DE2225" w:rsidP="00DE2225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o uznanie za zmarłego;</w:t>
      </w:r>
    </w:p>
    <w:p w14:paraId="2678C396" w14:textId="77777777" w:rsidR="00DE2225" w:rsidRPr="00A25B91" w:rsidRDefault="00DE2225" w:rsidP="00DE2225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o stwierdzenie zgonu;</w:t>
      </w:r>
    </w:p>
    <w:p w14:paraId="6DAD257F" w14:textId="08A469BA" w:rsidR="00B34EC7" w:rsidRPr="00A25B91" w:rsidRDefault="00DE2225" w:rsidP="00DE2225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A25B91">
        <w:rPr>
          <w:rFonts w:eastAsia="Calibri" w:cs="Times New Roman"/>
          <w:kern w:val="0"/>
          <w14:ligatures w14:val="none"/>
        </w:rPr>
        <w:t>o zobowiązanie Kierownika Urzędu Stanu Cywilnego do sporządzenia aktu zgonu.</w:t>
      </w:r>
    </w:p>
    <w:p w14:paraId="0DCD9D76" w14:textId="77777777" w:rsidR="00DE2225" w:rsidRPr="00A25B91" w:rsidRDefault="00DE2225" w:rsidP="00DE2225">
      <w:p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3F310A53" w14:textId="77777777" w:rsidR="00DE2225" w:rsidRPr="00A25B91" w:rsidRDefault="00DE2225" w:rsidP="00DE2225">
      <w:p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</w:p>
    <w:p w14:paraId="42F4AEEA" w14:textId="77777777" w:rsidR="00DE2225" w:rsidRPr="00A25B91" w:rsidRDefault="00DE2225" w:rsidP="00DE2225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/>
          <w:color w:val="000000"/>
          <w:kern w:val="0"/>
          <w:u w:val="single"/>
          <w14:ligatures w14:val="none"/>
        </w:rPr>
      </w:pPr>
      <w:r w:rsidRPr="00A25B91">
        <w:rPr>
          <w:rFonts w:eastAsia="Calibri" w:cs="Times New Roman"/>
          <w:b/>
          <w:color w:val="000000"/>
          <w:kern w:val="0"/>
          <w:u w:val="single"/>
          <w14:ligatures w14:val="none"/>
        </w:rPr>
        <w:t xml:space="preserve">PRAWO CYWILNE </w:t>
      </w:r>
    </w:p>
    <w:p w14:paraId="3FE7226C" w14:textId="77777777" w:rsidR="00DE2225" w:rsidRPr="00A25B91" w:rsidRDefault="00DE2225" w:rsidP="00DE2225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A25B91">
        <w:rPr>
          <w:rFonts w:eastAsia="Calibri" w:cs="Times New Roman"/>
          <w:color w:val="000000"/>
          <w:kern w:val="0"/>
          <w14:ligatures w14:val="none"/>
        </w:rPr>
        <w:t xml:space="preserve">Pozwem wniesionym w dniu 24 kwietnia 2025r. powód Jan Czaro wniósł o zasądzenie od pozwanego Adama Nowaka odszkodowania w kwocie 4.000,00 zł. Po weryfikacji danych pozwanego ustalono, że Adam Nowak zmarł bezpotomnie dnia 1 stycznia 2025r. </w:t>
      </w:r>
    </w:p>
    <w:p w14:paraId="212053CA" w14:textId="77777777" w:rsidR="00DE2225" w:rsidRPr="00A25B91" w:rsidRDefault="00DE2225" w:rsidP="00DE2225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A25B91">
        <w:rPr>
          <w:rFonts w:eastAsia="Calibri" w:cs="Times New Roman"/>
          <w:b/>
          <w:color w:val="000000"/>
          <w:kern w:val="0"/>
          <w14:ligatures w14:val="none"/>
        </w:rPr>
        <w:t>Proszę sporządzić projekt orzeczenia, jakie należy wydać w tej sprawie wraz z uzasad</w:t>
      </w:r>
      <w:r w:rsidRPr="00A25B91">
        <w:rPr>
          <w:rFonts w:eastAsia="Calibri" w:cs="Times New Roman"/>
          <w:b/>
          <w:color w:val="000000"/>
          <w:kern w:val="0"/>
          <w14:ligatures w14:val="none"/>
        </w:rPr>
        <w:softHyphen/>
        <w:t xml:space="preserve">nieniem </w:t>
      </w:r>
      <w:r w:rsidRPr="00A25B91">
        <w:rPr>
          <w:rFonts w:eastAsia="Calibri" w:cs="Times New Roman"/>
          <w:color w:val="000000"/>
          <w:kern w:val="0"/>
          <w14:ligatures w14:val="none"/>
        </w:rPr>
        <w:t xml:space="preserve">(nawet, jeżeli ustawa nie wymaga jego sporządzenia z urzędu) </w:t>
      </w:r>
      <w:r w:rsidRPr="00A25B91">
        <w:rPr>
          <w:rFonts w:eastAsia="Calibri" w:cs="Times New Roman"/>
          <w:b/>
          <w:color w:val="000000"/>
          <w:kern w:val="0"/>
          <w14:ligatures w14:val="none"/>
        </w:rPr>
        <w:t>oraz stosownymi zarządzeniami</w:t>
      </w:r>
      <w:r w:rsidRPr="00A25B91">
        <w:rPr>
          <w:rFonts w:eastAsia="Calibri" w:cs="Times New Roman"/>
          <w:color w:val="000000"/>
          <w:kern w:val="0"/>
          <w14:ligatures w14:val="none"/>
        </w:rPr>
        <w:t xml:space="preserve">.   </w:t>
      </w:r>
    </w:p>
    <w:p w14:paraId="703B3BF4" w14:textId="77777777" w:rsidR="00DE2225" w:rsidRPr="00A25B91" w:rsidRDefault="00DE2225" w:rsidP="00DE2225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7A4F55A2" w14:textId="77777777" w:rsidR="00DE2225" w:rsidRPr="00A25B91" w:rsidRDefault="00DE2225" w:rsidP="00DE2225">
      <w:p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</w:p>
    <w:sectPr w:rsidR="00DE2225" w:rsidRPr="00A25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75D8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32D"/>
    <w:multiLevelType w:val="hybridMultilevel"/>
    <w:tmpl w:val="BED465F0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B236F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55E8"/>
    <w:multiLevelType w:val="hybridMultilevel"/>
    <w:tmpl w:val="44EC943E"/>
    <w:lvl w:ilvl="0" w:tplc="F424B3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4427A1"/>
    <w:multiLevelType w:val="hybridMultilevel"/>
    <w:tmpl w:val="1E8E9DE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3C9593D"/>
    <w:multiLevelType w:val="hybridMultilevel"/>
    <w:tmpl w:val="6BB450F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64AAC"/>
    <w:multiLevelType w:val="hybridMultilevel"/>
    <w:tmpl w:val="F6C0AC0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6B4A"/>
    <w:multiLevelType w:val="hybridMultilevel"/>
    <w:tmpl w:val="6EE4BB92"/>
    <w:lvl w:ilvl="0" w:tplc="47E813B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87B52DB"/>
    <w:multiLevelType w:val="hybridMultilevel"/>
    <w:tmpl w:val="44EC943E"/>
    <w:lvl w:ilvl="0" w:tplc="F424B3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8A64061"/>
    <w:multiLevelType w:val="hybridMultilevel"/>
    <w:tmpl w:val="4322BD52"/>
    <w:lvl w:ilvl="0" w:tplc="6DFE42C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0190F"/>
    <w:multiLevelType w:val="hybridMultilevel"/>
    <w:tmpl w:val="1F5EA13C"/>
    <w:lvl w:ilvl="0" w:tplc="29005D74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02B9B"/>
    <w:multiLevelType w:val="hybridMultilevel"/>
    <w:tmpl w:val="1C02D0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9636A94"/>
    <w:multiLevelType w:val="hybridMultilevel"/>
    <w:tmpl w:val="9A1A7B1C"/>
    <w:lvl w:ilvl="0" w:tplc="466865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B1A504E"/>
    <w:multiLevelType w:val="hybridMultilevel"/>
    <w:tmpl w:val="A62A2B3A"/>
    <w:lvl w:ilvl="0" w:tplc="813E88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05450A9"/>
    <w:multiLevelType w:val="hybridMultilevel"/>
    <w:tmpl w:val="6958F638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63AD1"/>
    <w:multiLevelType w:val="hybridMultilevel"/>
    <w:tmpl w:val="2264C1DC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4E15BA0"/>
    <w:multiLevelType w:val="hybridMultilevel"/>
    <w:tmpl w:val="C9647C4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21354"/>
    <w:multiLevelType w:val="hybridMultilevel"/>
    <w:tmpl w:val="C9647C4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20"/>
  </w:num>
  <w:num w:numId="2" w16cid:durableId="244455794">
    <w:abstractNumId w:val="15"/>
  </w:num>
  <w:num w:numId="3" w16cid:durableId="1722825891">
    <w:abstractNumId w:val="15"/>
  </w:num>
  <w:num w:numId="4" w16cid:durableId="939677841">
    <w:abstractNumId w:val="5"/>
  </w:num>
  <w:num w:numId="5" w16cid:durableId="828248301">
    <w:abstractNumId w:val="9"/>
  </w:num>
  <w:num w:numId="6" w16cid:durableId="133987406">
    <w:abstractNumId w:val="13"/>
  </w:num>
  <w:num w:numId="7" w16cid:durableId="2103793451">
    <w:abstractNumId w:val="4"/>
  </w:num>
  <w:num w:numId="8" w16cid:durableId="289554805">
    <w:abstractNumId w:val="8"/>
  </w:num>
  <w:num w:numId="9" w16cid:durableId="615252184">
    <w:abstractNumId w:val="7"/>
  </w:num>
  <w:num w:numId="10" w16cid:durableId="1956643369">
    <w:abstractNumId w:val="1"/>
  </w:num>
  <w:num w:numId="11" w16cid:durableId="1970865911">
    <w:abstractNumId w:val="6"/>
  </w:num>
  <w:num w:numId="12" w16cid:durableId="105468625">
    <w:abstractNumId w:val="19"/>
  </w:num>
  <w:num w:numId="13" w16cid:durableId="1405957325">
    <w:abstractNumId w:val="21"/>
  </w:num>
  <w:num w:numId="14" w16cid:durableId="1732734603">
    <w:abstractNumId w:val="18"/>
  </w:num>
  <w:num w:numId="15" w16cid:durableId="1397817937">
    <w:abstractNumId w:val="2"/>
  </w:num>
  <w:num w:numId="16" w16cid:durableId="1645624640">
    <w:abstractNumId w:val="0"/>
  </w:num>
  <w:num w:numId="17" w16cid:durableId="2047942785">
    <w:abstractNumId w:val="22"/>
  </w:num>
  <w:num w:numId="18" w16cid:durableId="404189558">
    <w:abstractNumId w:val="10"/>
  </w:num>
  <w:num w:numId="19" w16cid:durableId="1437480159">
    <w:abstractNumId w:val="3"/>
  </w:num>
  <w:num w:numId="20" w16cid:durableId="853887597">
    <w:abstractNumId w:val="12"/>
  </w:num>
  <w:num w:numId="21" w16cid:durableId="2088307431">
    <w:abstractNumId w:val="17"/>
  </w:num>
  <w:num w:numId="22" w16cid:durableId="312218770">
    <w:abstractNumId w:val="16"/>
  </w:num>
  <w:num w:numId="23" w16cid:durableId="1893538450">
    <w:abstractNumId w:val="14"/>
  </w:num>
  <w:num w:numId="24" w16cid:durableId="19997208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225"/>
    <w:rsid w:val="00022F73"/>
    <w:rsid w:val="00133E9C"/>
    <w:rsid w:val="0017340A"/>
    <w:rsid w:val="001F578F"/>
    <w:rsid w:val="0024190C"/>
    <w:rsid w:val="003C5056"/>
    <w:rsid w:val="00404812"/>
    <w:rsid w:val="004E23CD"/>
    <w:rsid w:val="00886BAA"/>
    <w:rsid w:val="009A74E1"/>
    <w:rsid w:val="00A25B91"/>
    <w:rsid w:val="00B34EC7"/>
    <w:rsid w:val="00BB48D1"/>
    <w:rsid w:val="00C32AF7"/>
    <w:rsid w:val="00C66091"/>
    <w:rsid w:val="00D439EA"/>
    <w:rsid w:val="00DE2225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FEEC4"/>
  <w15:chartTrackingRefBased/>
  <w15:docId w15:val="{4AD09C0B-BEDA-438D-8C29-E600DD9B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2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2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22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22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22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22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22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22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22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DE2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2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222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222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222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22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22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22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22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22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2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2225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22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22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22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22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22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2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22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22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735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3</cp:revision>
  <dcterms:created xsi:type="dcterms:W3CDTF">2026-07-22T14:23:00Z</dcterms:created>
  <dcterms:modified xsi:type="dcterms:W3CDTF">2026-07-29T09:27:00Z</dcterms:modified>
</cp:coreProperties>
</file>