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7CBE" w14:textId="77777777" w:rsidR="00983A26" w:rsidRPr="00983A26" w:rsidRDefault="00983A26" w:rsidP="00983A26">
      <w:pPr>
        <w:spacing w:after="160" w:line="259" w:lineRule="auto"/>
        <w:ind w:left="0" w:right="0" w:firstLine="0"/>
        <w:jc w:val="center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:u w:val="single"/>
          <w14:ligatures w14:val="none"/>
        </w:rPr>
        <w:t>Pytania z zakresu prawa karnego oraz postępowania karnego</w:t>
      </w:r>
    </w:p>
    <w:p w14:paraId="18883E32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DC6CE58" w14:textId="77777777" w:rsidR="00983A26" w:rsidRPr="00983A26" w:rsidRDefault="00983A26" w:rsidP="00983A26">
      <w:pPr>
        <w:numPr>
          <w:ilvl w:val="0"/>
          <w:numId w:val="6"/>
        </w:numPr>
        <w:tabs>
          <w:tab w:val="left" w:pos="426"/>
        </w:tabs>
        <w:spacing w:after="0" w:line="360" w:lineRule="auto"/>
        <w:ind w:left="0" w:right="0" w:firstLine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14:ligatures w14:val="none"/>
        </w:rPr>
        <w:t xml:space="preserve">Zgodnie z Kodeksem karnym, skazując oskarżonego za przestępstwo z zastosowaniem art. 12 § 1 kk </w:t>
      </w:r>
    </w:p>
    <w:p w14:paraId="0EE6D911" w14:textId="77777777" w:rsidR="00983A26" w:rsidRPr="00983A26" w:rsidRDefault="00983A26" w:rsidP="00983A26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sąd wymierza karę przewidzianą za przypisane sprawcy przestępstwo powyżej dolnej granicy ustawowego zagrożenia, a w wypadku grzywny lub kary ograniczenia wolności nie niższą od podwójnej dolnej granicy ustawowego zagrożenia – do podwójnej wysokości górnej granicy ustawowego zagrożenia;</w:t>
      </w:r>
    </w:p>
    <w:p w14:paraId="49222583" w14:textId="77777777" w:rsidR="00983A26" w:rsidRPr="00983A26" w:rsidRDefault="00983A26" w:rsidP="00983A26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sąd wymierza karę przewidziana za przypisane sprawcy przestępstwo poniżej dolnej granicy ustawowego zagrożenia, a w wypadku grzywny lub kary ograniczenia wolności nie wyższą od podwójnej dolnej granicy ustawowego zagrożenia;</w:t>
      </w:r>
    </w:p>
    <w:p w14:paraId="3E05DF3E" w14:textId="77777777" w:rsidR="00983A26" w:rsidRPr="00983A26" w:rsidRDefault="00983A26" w:rsidP="00983A26">
      <w:pPr>
        <w:numPr>
          <w:ilvl w:val="0"/>
          <w:numId w:val="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sąd wymierza karę przewidziana za przypisane sprawcy przestępstwo dokładnie w dolnej granicy ustawowego zagrożenia karą.</w:t>
      </w:r>
    </w:p>
    <w:p w14:paraId="02522066" w14:textId="77777777" w:rsidR="00983A26" w:rsidRPr="00983A26" w:rsidRDefault="00983A26" w:rsidP="00983A26">
      <w:pPr>
        <w:spacing w:after="0" w:line="360" w:lineRule="auto"/>
        <w:ind w:left="786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23B1987D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14:ligatures w14:val="none"/>
        </w:rPr>
        <w:t>Zgodnie z Kodeksem karnym, korzyścią majątkową lub osobistą jest:</w:t>
      </w:r>
    </w:p>
    <w:p w14:paraId="6F33A610" w14:textId="77777777" w:rsidR="00983A26" w:rsidRPr="00983A26" w:rsidRDefault="00983A26" w:rsidP="00983A26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 xml:space="preserve">korzyść dla siebie; </w:t>
      </w:r>
    </w:p>
    <w:p w14:paraId="2B769C90" w14:textId="77777777" w:rsidR="00983A26" w:rsidRPr="00983A26" w:rsidRDefault="00983A26" w:rsidP="00983A26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korzyść dla siebie jak i dla kogo innego;</w:t>
      </w:r>
    </w:p>
    <w:p w14:paraId="006117C2" w14:textId="77777777" w:rsidR="00983A26" w:rsidRPr="00983A26" w:rsidRDefault="00983A26" w:rsidP="00983A26">
      <w:pPr>
        <w:numPr>
          <w:ilvl w:val="0"/>
          <w:numId w:val="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 xml:space="preserve">korzyść dla kogo innego. </w:t>
      </w:r>
    </w:p>
    <w:p w14:paraId="27D91FFB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FACA3FF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left="426" w:right="0" w:hanging="426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14:ligatures w14:val="none"/>
        </w:rPr>
        <w:t>Zgodnie z kodeksem karnym, jeżeli ustawa nie stanowi inaczej, a przestępstwo jest zagrożone zarówno grzywną jak i karą pozbawienia wolności nieprzekraczającą roku, grzywnę wymierza się w wysokości nie niższej od:</w:t>
      </w:r>
    </w:p>
    <w:p w14:paraId="2D1C3E43" w14:textId="77777777" w:rsidR="00983A26" w:rsidRPr="00983A26" w:rsidRDefault="00983A26" w:rsidP="00983A26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 xml:space="preserve">10 stawek; </w:t>
      </w:r>
    </w:p>
    <w:p w14:paraId="2F8D54E7" w14:textId="77777777" w:rsidR="00983A26" w:rsidRPr="00983A26" w:rsidRDefault="00983A26" w:rsidP="00983A26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25 stawek;</w:t>
      </w:r>
    </w:p>
    <w:p w14:paraId="5BFEDD1C" w14:textId="77777777" w:rsidR="00983A26" w:rsidRPr="00983A26" w:rsidRDefault="00983A26" w:rsidP="00983A26">
      <w:pPr>
        <w:numPr>
          <w:ilvl w:val="0"/>
          <w:numId w:val="9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50 stawek.</w:t>
      </w:r>
    </w:p>
    <w:p w14:paraId="5B75680B" w14:textId="77777777" w:rsidR="00983A26" w:rsidRPr="00983A26" w:rsidRDefault="00983A26" w:rsidP="00983A26">
      <w:pPr>
        <w:spacing w:after="0" w:line="360" w:lineRule="auto"/>
        <w:ind w:left="786" w:right="0" w:firstLine="0"/>
        <w:contextualSpacing/>
        <w:rPr>
          <w:rFonts w:eastAsia="Calibri" w:cs="Times New Roman"/>
          <w:b/>
          <w:kern w:val="0"/>
          <w14:ligatures w14:val="none"/>
        </w:rPr>
      </w:pPr>
    </w:p>
    <w:p w14:paraId="422544EA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left="284"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14:ligatures w14:val="none"/>
        </w:rPr>
        <w:t xml:space="preserve"> Zgodnie z kodeksem karnym, młodocianym jest sprawca który:</w:t>
      </w:r>
    </w:p>
    <w:p w14:paraId="2AD19376" w14:textId="77777777" w:rsidR="00983A26" w:rsidRPr="00983A26" w:rsidRDefault="00983A26" w:rsidP="00983A26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w chwili popełnienia czynu zabronionego nie ukończył 21 lat i w czasie orzekania w pierwszej instancji 24 lat;</w:t>
      </w:r>
    </w:p>
    <w:p w14:paraId="4512D029" w14:textId="77777777" w:rsidR="00983A26" w:rsidRPr="00983A26" w:rsidRDefault="00983A26" w:rsidP="00983A26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w chwili popełnienia czynu zabronionego nie ukończył 17 lat i w czasie orzekania w pierwszej instancji 18 lat;</w:t>
      </w:r>
    </w:p>
    <w:p w14:paraId="7DC89ADE" w14:textId="77777777" w:rsidR="00983A26" w:rsidRPr="00983A26" w:rsidRDefault="00983A26" w:rsidP="00983A26">
      <w:pPr>
        <w:numPr>
          <w:ilvl w:val="0"/>
          <w:numId w:val="24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w chwili popełnienia czynu zabronionego nie ukończył 18 lat i w czasie orzekania w pierwszej instancji 19 lat.</w:t>
      </w:r>
    </w:p>
    <w:p w14:paraId="13EA3F05" w14:textId="77777777" w:rsidR="00983A26" w:rsidRPr="00983A26" w:rsidRDefault="00983A26" w:rsidP="00983A26">
      <w:pPr>
        <w:spacing w:after="0" w:line="360" w:lineRule="auto"/>
        <w:ind w:left="64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1C806CC6" w14:textId="77777777" w:rsidR="00983A26" w:rsidRPr="00983A26" w:rsidRDefault="00983A26" w:rsidP="00983A26">
      <w:pPr>
        <w:spacing w:after="0" w:line="360" w:lineRule="auto"/>
        <w:ind w:left="644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05D9A620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14:ligatures w14:val="none"/>
        </w:rPr>
        <w:t>Zgodnie z kodeksem karnym, stan nietrzeźwości zachodzi gdy:</w:t>
      </w:r>
    </w:p>
    <w:p w14:paraId="09C6C3F7" w14:textId="77777777" w:rsidR="00983A26" w:rsidRPr="00983A26" w:rsidRDefault="00983A26" w:rsidP="00983A26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zawartość alkoholu we krwi nie przekracza 0,1 promila;</w:t>
      </w:r>
    </w:p>
    <w:p w14:paraId="29587FE6" w14:textId="77777777" w:rsidR="00983A26" w:rsidRPr="00983A26" w:rsidRDefault="00983A26" w:rsidP="00983A26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zawartość alkoholu we krwi przekracza 0,1 promila albo prowadzi do stężenia przekraczającego tę wartość;</w:t>
      </w:r>
    </w:p>
    <w:p w14:paraId="432F51A1" w14:textId="77777777" w:rsidR="00983A26" w:rsidRPr="00983A26" w:rsidRDefault="00983A26" w:rsidP="00983A26">
      <w:pPr>
        <w:numPr>
          <w:ilvl w:val="0"/>
          <w:numId w:val="11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zawartość alkoholu we krwi przekracza 0,5 promila albo prowadzi do stężenia przekraczającego tę wartość.</w:t>
      </w:r>
    </w:p>
    <w:p w14:paraId="095B5460" w14:textId="77777777" w:rsidR="00983A26" w:rsidRPr="00983A26" w:rsidRDefault="00983A26" w:rsidP="00983A26">
      <w:pPr>
        <w:spacing w:after="0" w:line="360" w:lineRule="auto"/>
        <w:ind w:left="1080" w:right="0" w:firstLine="0"/>
        <w:contextualSpacing/>
        <w:rPr>
          <w:rFonts w:eastAsia="Calibri" w:cs="Times New Roman"/>
          <w:bCs/>
          <w:kern w:val="0"/>
          <w14:ligatures w14:val="none"/>
        </w:rPr>
      </w:pPr>
    </w:p>
    <w:p w14:paraId="0FC093E9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karnym skarbowym rozpoznając sprawę o wykroczenie karnoskarbowe sąd stosuje:</w:t>
      </w:r>
    </w:p>
    <w:p w14:paraId="69F70B7D" w14:textId="77777777" w:rsidR="00983A26" w:rsidRPr="00983A26" w:rsidRDefault="00983A26" w:rsidP="00983A26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 xml:space="preserve">Kodeks postępowania w sprawach o wykroczenia jeżeli przepisy Kodeksu karnego skarbowego nie stanowią inaczej; </w:t>
      </w:r>
    </w:p>
    <w:p w14:paraId="45809CF1" w14:textId="77777777" w:rsidR="00983A26" w:rsidRPr="00983A26" w:rsidRDefault="00983A26" w:rsidP="00983A26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 xml:space="preserve">Kodeks postępowania karnego jeżeli przepisy kodeksu karnego skarbowego nie stanowią inaczej; </w:t>
      </w:r>
    </w:p>
    <w:p w14:paraId="72119DEB" w14:textId="77777777" w:rsidR="00983A26" w:rsidRPr="00983A26" w:rsidRDefault="00983A26" w:rsidP="00983A26">
      <w:pPr>
        <w:numPr>
          <w:ilvl w:val="0"/>
          <w:numId w:val="1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Kodeks karny skarbowy.</w:t>
      </w:r>
    </w:p>
    <w:p w14:paraId="28E42E71" w14:textId="77777777" w:rsidR="00983A26" w:rsidRPr="00983A26" w:rsidRDefault="00983A26" w:rsidP="00983A26">
      <w:pPr>
        <w:spacing w:after="0" w:line="360" w:lineRule="auto"/>
        <w:ind w:left="1004" w:right="0" w:firstLine="0"/>
        <w:contextualSpacing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 xml:space="preserve"> </w:t>
      </w:r>
    </w:p>
    <w:p w14:paraId="54D67872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14:ligatures w14:val="none"/>
        </w:rPr>
        <w:t xml:space="preserve">Zgodnie z Kodeksem karnym, warunkowe umorzenie postępowania może być zastosowane wobec sprawcy przestępstwa zagrożonego karą: </w:t>
      </w:r>
    </w:p>
    <w:p w14:paraId="42D78D9F" w14:textId="77777777" w:rsidR="00983A26" w:rsidRPr="00983A26" w:rsidRDefault="00983A26" w:rsidP="00983A26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do 5 lat pozbawienia wolności;</w:t>
      </w:r>
    </w:p>
    <w:p w14:paraId="6260EF4A" w14:textId="77777777" w:rsidR="00983A26" w:rsidRPr="00983A26" w:rsidRDefault="00983A26" w:rsidP="00983A26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przekraczającą 5 lat pozbawienia wolności;</w:t>
      </w:r>
    </w:p>
    <w:p w14:paraId="3BC8E49E" w14:textId="77777777" w:rsidR="00983A26" w:rsidRPr="00983A26" w:rsidRDefault="00983A26" w:rsidP="00983A26">
      <w:pPr>
        <w:numPr>
          <w:ilvl w:val="0"/>
          <w:numId w:val="10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przekraczającą 10 lat pozbawienia wolności.</w:t>
      </w:r>
    </w:p>
    <w:p w14:paraId="24F7491B" w14:textId="77777777" w:rsidR="00983A26" w:rsidRPr="00983A26" w:rsidRDefault="00983A26" w:rsidP="00983A26">
      <w:pPr>
        <w:spacing w:after="0" w:line="360" w:lineRule="auto"/>
        <w:ind w:left="1004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3DBC6421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wykroczeń kara aresztu trwa najdłużej:</w:t>
      </w:r>
    </w:p>
    <w:p w14:paraId="7F5A1F39" w14:textId="77777777" w:rsidR="00983A26" w:rsidRPr="00983A26" w:rsidRDefault="00983A26" w:rsidP="00983A26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30 dni;</w:t>
      </w:r>
    </w:p>
    <w:p w14:paraId="3F6CDAB9" w14:textId="77777777" w:rsidR="00983A26" w:rsidRPr="00983A26" w:rsidRDefault="00983A26" w:rsidP="00983A26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60 dni;</w:t>
      </w:r>
    </w:p>
    <w:p w14:paraId="4E0FBF5A" w14:textId="77777777" w:rsidR="00983A26" w:rsidRPr="00983A26" w:rsidRDefault="00983A26" w:rsidP="00983A26">
      <w:pPr>
        <w:numPr>
          <w:ilvl w:val="0"/>
          <w:numId w:val="14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90 dni.</w:t>
      </w:r>
    </w:p>
    <w:p w14:paraId="4D2CB8DC" w14:textId="77777777" w:rsidR="00983A26" w:rsidRPr="00983A26" w:rsidRDefault="00983A26" w:rsidP="00983A26">
      <w:pPr>
        <w:spacing w:after="0" w:line="360" w:lineRule="auto"/>
        <w:ind w:left="1004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47BCAF9B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wykroczeń w przypadku uchylenia prawomocnego rozstrzygnięcia przedawnienie biegnie od daty</w:t>
      </w:r>
      <w:r w:rsidRPr="00983A26">
        <w:rPr>
          <w:rFonts w:eastAsia="Calibri" w:cs="Times New Roman"/>
          <w:kern w:val="0"/>
          <w14:ligatures w14:val="none"/>
        </w:rPr>
        <w:t xml:space="preserve">: </w:t>
      </w:r>
    </w:p>
    <w:p w14:paraId="2CA9A56D" w14:textId="77777777" w:rsidR="00983A26" w:rsidRPr="00983A26" w:rsidRDefault="00983A26" w:rsidP="00983A26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popełnienia czynu;</w:t>
      </w:r>
    </w:p>
    <w:p w14:paraId="033C1174" w14:textId="77777777" w:rsidR="00983A26" w:rsidRPr="00983A26" w:rsidRDefault="00983A26" w:rsidP="00983A26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wszczęcia postępowania;</w:t>
      </w:r>
    </w:p>
    <w:p w14:paraId="3276543A" w14:textId="77777777" w:rsidR="00983A26" w:rsidRPr="00983A26" w:rsidRDefault="00983A26" w:rsidP="00983A26">
      <w:pPr>
        <w:numPr>
          <w:ilvl w:val="0"/>
          <w:numId w:val="15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uchylenia rozstrzygnięcia</w:t>
      </w:r>
      <w:r w:rsidRPr="00983A26">
        <w:rPr>
          <w:rFonts w:eastAsia="Calibri" w:cs="Times New Roman"/>
          <w:b/>
          <w:bCs/>
          <w:kern w:val="0"/>
          <w14:ligatures w14:val="none"/>
        </w:rPr>
        <w:t xml:space="preserve">. </w:t>
      </w:r>
    </w:p>
    <w:p w14:paraId="0089FAAF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b/>
          <w:bCs/>
          <w:kern w:val="0"/>
          <w14:ligatures w14:val="none"/>
        </w:rPr>
      </w:pPr>
    </w:p>
    <w:p w14:paraId="4862CC3D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b/>
          <w:bCs/>
          <w:kern w:val="0"/>
          <w14:ligatures w14:val="none"/>
        </w:rPr>
      </w:pPr>
    </w:p>
    <w:p w14:paraId="114210A3" w14:textId="77777777" w:rsidR="00983A26" w:rsidRPr="00983A26" w:rsidRDefault="00983A26" w:rsidP="00983A26">
      <w:pPr>
        <w:spacing w:after="0" w:line="360" w:lineRule="auto"/>
        <w:ind w:left="1004" w:right="0" w:firstLine="0"/>
        <w:contextualSpacing/>
        <w:rPr>
          <w:rFonts w:eastAsia="Calibri" w:cs="Times New Roman"/>
          <w:b/>
          <w:bCs/>
          <w:kern w:val="0"/>
          <w14:ligatures w14:val="none"/>
        </w:rPr>
      </w:pPr>
    </w:p>
    <w:p w14:paraId="2E84FF4E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/>
          <w:kern w:val="0"/>
          <w14:ligatures w14:val="none"/>
        </w:rPr>
        <w:t xml:space="preserve">Zgodnie z Kodeksem postępowania w sprawach o wykroczenia obwiniony może korzystać z pomocy: </w:t>
      </w:r>
    </w:p>
    <w:p w14:paraId="3F430EC1" w14:textId="77777777" w:rsidR="00983A26" w:rsidRPr="00983A26" w:rsidRDefault="00983A26" w:rsidP="00983A26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Cs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jednego obrońcy;</w:t>
      </w:r>
    </w:p>
    <w:p w14:paraId="0A99DD88" w14:textId="77777777" w:rsidR="00983A26" w:rsidRPr="00983A26" w:rsidRDefault="00983A26" w:rsidP="00983A26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 xml:space="preserve">dwóch obrońców; </w:t>
      </w:r>
    </w:p>
    <w:p w14:paraId="4BD44E99" w14:textId="77777777" w:rsidR="00983A26" w:rsidRPr="00983A26" w:rsidRDefault="00983A26" w:rsidP="00983A26">
      <w:pPr>
        <w:numPr>
          <w:ilvl w:val="0"/>
          <w:numId w:val="1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bCs/>
          <w:kern w:val="0"/>
          <w14:ligatures w14:val="none"/>
        </w:rPr>
        <w:t>trzech obrońców.</w:t>
      </w:r>
    </w:p>
    <w:p w14:paraId="2AD81328" w14:textId="77777777" w:rsidR="00983A26" w:rsidRPr="00983A26" w:rsidRDefault="00983A26" w:rsidP="00983A26">
      <w:pPr>
        <w:spacing w:after="0" w:line="360" w:lineRule="auto"/>
        <w:ind w:left="1004" w:right="0" w:firstLine="0"/>
        <w:contextualSpacing/>
        <w:rPr>
          <w:rFonts w:eastAsia="Calibri" w:cs="Times New Roman"/>
          <w:kern w:val="0"/>
          <w14:ligatures w14:val="none"/>
        </w:rPr>
      </w:pPr>
    </w:p>
    <w:p w14:paraId="3E63BBA0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postępowania karnego, pismo procesowe jakim jest środek odwoławczy może być przyjęte jeżeli zostało złożone:</w:t>
      </w:r>
    </w:p>
    <w:p w14:paraId="1321B7A7" w14:textId="77777777" w:rsidR="00983A26" w:rsidRPr="00983A26" w:rsidRDefault="00983A26" w:rsidP="00983A26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w formie papierowej, opatrzonej własnoręcznym podpisem;</w:t>
      </w:r>
    </w:p>
    <w:p w14:paraId="0F8F42EF" w14:textId="77777777" w:rsidR="00983A26" w:rsidRPr="00983A26" w:rsidRDefault="00983A26" w:rsidP="00983A26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w formie elektronicznej, opatrzonej podpisem wykonanym z użyciem edytora tekstu;</w:t>
      </w:r>
    </w:p>
    <w:p w14:paraId="06078652" w14:textId="77777777" w:rsidR="00983A26" w:rsidRPr="00983A26" w:rsidRDefault="00983A26" w:rsidP="00983A26">
      <w:pPr>
        <w:numPr>
          <w:ilvl w:val="0"/>
          <w:numId w:val="16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w formie elektronicznej opatrzonej kwalifikowanym podpisem elektronicznym.</w:t>
      </w:r>
    </w:p>
    <w:p w14:paraId="69B8B3CE" w14:textId="77777777" w:rsidR="00983A26" w:rsidRPr="00983A26" w:rsidRDefault="00983A26" w:rsidP="00983A26">
      <w:pPr>
        <w:spacing w:after="0" w:line="360" w:lineRule="auto"/>
        <w:ind w:left="1004" w:right="0" w:firstLine="0"/>
        <w:contextualSpacing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 xml:space="preserve"> </w:t>
      </w:r>
    </w:p>
    <w:p w14:paraId="6DD6D2A1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postępowania karnego, niestawiennictwo oskarżyciela prywatnego i jego pełnomocnika na posiedzenie pojednawcze bez usprawiedliwienia uważa się za odstąpienie od oskarżenia, w takim wypadku prowadzący posiedzenie:</w:t>
      </w:r>
    </w:p>
    <w:p w14:paraId="655B60CC" w14:textId="77777777" w:rsidR="00983A26" w:rsidRPr="00983A26" w:rsidRDefault="00983A26" w:rsidP="00983A26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odmawia wszczęcia postępowania;</w:t>
      </w:r>
    </w:p>
    <w:p w14:paraId="7D9D6B1D" w14:textId="77777777" w:rsidR="00983A26" w:rsidRPr="00983A26" w:rsidRDefault="00983A26" w:rsidP="00983A26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postępowanie umarza;</w:t>
      </w:r>
    </w:p>
    <w:p w14:paraId="1B234527" w14:textId="77777777" w:rsidR="00983A26" w:rsidRPr="00983A26" w:rsidRDefault="00983A26" w:rsidP="00983A26">
      <w:pPr>
        <w:numPr>
          <w:ilvl w:val="0"/>
          <w:numId w:val="17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kieruje sprawę na rozprawę.</w:t>
      </w:r>
    </w:p>
    <w:p w14:paraId="3320A855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6E6A371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 xml:space="preserve"> Zgodnie z Kodeksem karnym skarbowym:</w:t>
      </w:r>
    </w:p>
    <w:p w14:paraId="5918E25E" w14:textId="77777777" w:rsidR="00983A26" w:rsidRPr="00983A26" w:rsidRDefault="00983A26" w:rsidP="00983A26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stosuje się przepisy Kodeksu postępowania karnego o pokrzywdzonym i mediacji;</w:t>
      </w:r>
    </w:p>
    <w:p w14:paraId="2AB11275" w14:textId="77777777" w:rsidR="00983A26" w:rsidRPr="00983A26" w:rsidRDefault="00983A26" w:rsidP="00983A26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stosuje się przepisy Kodeksu postępowania karnego o pokrzywdzonym i mediacji jeżeli przepisy Kodeksu karnego skarbowego nie stanowią inaczej;</w:t>
      </w:r>
    </w:p>
    <w:p w14:paraId="661DD1F7" w14:textId="77777777" w:rsidR="00983A26" w:rsidRPr="00983A26" w:rsidRDefault="00983A26" w:rsidP="00983A26">
      <w:pPr>
        <w:numPr>
          <w:ilvl w:val="0"/>
          <w:numId w:val="18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 xml:space="preserve">nie stosuje się przepisów Kodeksu postępowania karnego o pokrzywdzonym i  mediacji. </w:t>
      </w:r>
    </w:p>
    <w:p w14:paraId="210CEB2A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07A67C75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 xml:space="preserve"> Zgodnie z Kodeksem postępowania karnego rozprawa w sprawie o pomówienie lub znieważenie:</w:t>
      </w:r>
    </w:p>
    <w:p w14:paraId="190151F3" w14:textId="77777777" w:rsidR="00983A26" w:rsidRPr="00983A26" w:rsidRDefault="00983A26" w:rsidP="00983A26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toczy się z wyłączeniem jawności, chyba że pokrzywdzony złoży wniosek o jawne rozpoznanie sprawy;</w:t>
      </w:r>
    </w:p>
    <w:p w14:paraId="62B188A7" w14:textId="77777777" w:rsidR="00983A26" w:rsidRPr="00983A26" w:rsidRDefault="00983A26" w:rsidP="00983A26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toczy się z wyłączeniem jawności;</w:t>
      </w:r>
    </w:p>
    <w:p w14:paraId="4FD46368" w14:textId="77777777" w:rsidR="00983A26" w:rsidRPr="00983A26" w:rsidRDefault="00983A26" w:rsidP="00983A26">
      <w:pPr>
        <w:numPr>
          <w:ilvl w:val="0"/>
          <w:numId w:val="19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lastRenderedPageBreak/>
        <w:t>toczy się jawnie.</w:t>
      </w:r>
    </w:p>
    <w:p w14:paraId="21F66679" w14:textId="77777777" w:rsidR="00983A26" w:rsidRPr="00983A26" w:rsidRDefault="00983A26" w:rsidP="00983A26">
      <w:pPr>
        <w:spacing w:after="0" w:line="360" w:lineRule="auto"/>
        <w:ind w:left="644" w:right="0" w:firstLine="0"/>
        <w:rPr>
          <w:rFonts w:eastAsia="Calibri" w:cs="Times New Roman"/>
          <w:b/>
          <w:bCs/>
          <w:kern w:val="0"/>
          <w14:ligatures w14:val="none"/>
        </w:rPr>
      </w:pPr>
    </w:p>
    <w:p w14:paraId="04C5F3B2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postępowania w sprawach o wykroczenia wyrok zaoczny zapada w sytuacji:</w:t>
      </w:r>
    </w:p>
    <w:p w14:paraId="3922AEEF" w14:textId="77777777" w:rsidR="00983A26" w:rsidRPr="00983A26" w:rsidRDefault="00983A26" w:rsidP="00983A26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niestawiennictwa obwinionego na rozprawie;</w:t>
      </w:r>
    </w:p>
    <w:p w14:paraId="029DD44E" w14:textId="77777777" w:rsidR="00983A26" w:rsidRPr="00983A26" w:rsidRDefault="00983A26" w:rsidP="00983A26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niestawiennictwa obrońcy obwinionego na rozprawie;</w:t>
      </w:r>
    </w:p>
    <w:p w14:paraId="7BE660C4" w14:textId="77777777" w:rsidR="00983A26" w:rsidRPr="00983A26" w:rsidRDefault="00983A26" w:rsidP="00983A26">
      <w:pPr>
        <w:numPr>
          <w:ilvl w:val="0"/>
          <w:numId w:val="20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niestawiennictwa oskarżyciela publicznego na rozprawie.</w:t>
      </w:r>
    </w:p>
    <w:p w14:paraId="501B3465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EB5D48B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postępowania karnego, przesłanką do zastosowania tymczasowego aresztowania nie jest:</w:t>
      </w:r>
    </w:p>
    <w:p w14:paraId="60A7A7C5" w14:textId="77777777" w:rsidR="00983A26" w:rsidRPr="00983A26" w:rsidRDefault="00983A26" w:rsidP="00983A26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obawa ucieczki oskarżonego;</w:t>
      </w:r>
    </w:p>
    <w:p w14:paraId="1ADC1127" w14:textId="77777777" w:rsidR="00983A26" w:rsidRPr="00983A26" w:rsidRDefault="00983A26" w:rsidP="00983A26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zagrożenie surową karą;</w:t>
      </w:r>
    </w:p>
    <w:p w14:paraId="078ABDD1" w14:textId="77777777" w:rsidR="00983A26" w:rsidRPr="00983A26" w:rsidRDefault="00983A26" w:rsidP="00983A26">
      <w:pPr>
        <w:numPr>
          <w:ilvl w:val="0"/>
          <w:numId w:val="21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uprzednia karalność oskarżonego.</w:t>
      </w:r>
    </w:p>
    <w:p w14:paraId="70A0BAB0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b/>
          <w:bCs/>
          <w:kern w:val="0"/>
          <w14:ligatures w14:val="none"/>
        </w:rPr>
      </w:pPr>
    </w:p>
    <w:p w14:paraId="6126E1E1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postępowania karnego, nieuzupełnienie braku formalnego pisma procesowego wywołuje skutek w postaci zarządzenia:</w:t>
      </w:r>
    </w:p>
    <w:p w14:paraId="2BB45CF7" w14:textId="77777777" w:rsidR="00983A26" w:rsidRPr="00983A26" w:rsidRDefault="00983A26" w:rsidP="00983A26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 bezskuteczności pisma;</w:t>
      </w:r>
    </w:p>
    <w:p w14:paraId="415F3C9B" w14:textId="77777777" w:rsidR="00983A26" w:rsidRPr="00983A26" w:rsidRDefault="00983A26" w:rsidP="00983A26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 pozostawieniu go bez rozpoznania;</w:t>
      </w:r>
    </w:p>
    <w:p w14:paraId="7DA4EE15" w14:textId="77777777" w:rsidR="00983A26" w:rsidRPr="00983A26" w:rsidRDefault="00983A26" w:rsidP="00983A26">
      <w:pPr>
        <w:numPr>
          <w:ilvl w:val="0"/>
          <w:numId w:val="22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 stwierdzeniu nieważności pisma.</w:t>
      </w:r>
    </w:p>
    <w:p w14:paraId="3B4E8B6C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4F47885F" w14:textId="77777777" w:rsidR="00983A26" w:rsidRPr="00983A26" w:rsidRDefault="00983A26" w:rsidP="00983A26">
      <w:pPr>
        <w:numPr>
          <w:ilvl w:val="0"/>
          <w:numId w:val="6"/>
        </w:numPr>
        <w:spacing w:after="0" w:line="360" w:lineRule="auto"/>
        <w:ind w:right="0"/>
        <w:contextualSpacing/>
        <w:jc w:val="left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Zgodnie z Kodeksem postepowania karnego, złożone w terminie, zażalenie oskarżonego na postanowienie sądu odwoławczego wywołuje skutek w postaci zarządzenia:</w:t>
      </w:r>
    </w:p>
    <w:p w14:paraId="06479210" w14:textId="77777777" w:rsidR="00983A26" w:rsidRPr="00983A26" w:rsidRDefault="00983A26" w:rsidP="00983A26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 odmowie przyjęcia zażalenia;</w:t>
      </w:r>
    </w:p>
    <w:p w14:paraId="02BB125C" w14:textId="77777777" w:rsidR="00983A26" w:rsidRPr="00983A26" w:rsidRDefault="00983A26" w:rsidP="00983A26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 przyjęciu zażalenia;</w:t>
      </w:r>
    </w:p>
    <w:p w14:paraId="5DBBFCC8" w14:textId="77777777" w:rsidR="00983A26" w:rsidRPr="00983A26" w:rsidRDefault="00983A26" w:rsidP="00983A26">
      <w:pPr>
        <w:numPr>
          <w:ilvl w:val="0"/>
          <w:numId w:val="23"/>
        </w:numPr>
        <w:spacing w:after="0" w:line="360" w:lineRule="auto"/>
        <w:ind w:right="0"/>
        <w:contextualSpacing/>
        <w:jc w:val="left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 charakterze administracyjnym, i poinformowaniu skarżącego, iż kwestionowana decyzja nie jest zaskarżalna, a co za tym idzie, wniesione zażalenie nie może uzyskać dalszego biegu procesowego.</w:t>
      </w:r>
    </w:p>
    <w:p w14:paraId="0FDD68B1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3C060539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</w:p>
    <w:p w14:paraId="5CD2079F" w14:textId="77777777" w:rsidR="00983A26" w:rsidRDefault="00983A26" w:rsidP="00983A2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sz w:val="28"/>
          <w14:ligatures w14:val="none"/>
        </w:rPr>
      </w:pPr>
    </w:p>
    <w:p w14:paraId="15EEB2D0" w14:textId="77777777" w:rsidR="00983A26" w:rsidRDefault="00983A26" w:rsidP="00983A2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sz w:val="28"/>
          <w14:ligatures w14:val="none"/>
        </w:rPr>
      </w:pPr>
    </w:p>
    <w:p w14:paraId="3F67653A" w14:textId="77777777" w:rsidR="00983A26" w:rsidRDefault="00983A26" w:rsidP="00983A2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sz w:val="28"/>
          <w14:ligatures w14:val="none"/>
        </w:rPr>
      </w:pPr>
    </w:p>
    <w:p w14:paraId="7B8F7070" w14:textId="014E999A" w:rsidR="00983A26" w:rsidRPr="00983A26" w:rsidRDefault="00983A26" w:rsidP="00983A2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b/>
          <w:color w:val="000000"/>
          <w:kern w:val="0"/>
          <w:sz w:val="28"/>
          <w14:ligatures w14:val="none"/>
        </w:rPr>
      </w:pPr>
      <w:r w:rsidRPr="00983A26">
        <w:rPr>
          <w:rFonts w:eastAsia="Calibri" w:cs="Times New Roman"/>
          <w:b/>
          <w:color w:val="000000"/>
          <w:kern w:val="0"/>
          <w:sz w:val="28"/>
          <w14:ligatures w14:val="none"/>
        </w:rPr>
        <w:lastRenderedPageBreak/>
        <w:t>PRAWO KARNE</w:t>
      </w:r>
    </w:p>
    <w:p w14:paraId="48D97D9C" w14:textId="77777777" w:rsidR="00983A26" w:rsidRPr="00983A26" w:rsidRDefault="00983A26" w:rsidP="00983A26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eastAsia="Calibri" w:cs="Times New Roman"/>
          <w:color w:val="000000"/>
          <w:kern w:val="0"/>
          <w14:ligatures w14:val="none"/>
        </w:rPr>
      </w:pPr>
    </w:p>
    <w:p w14:paraId="5AB4AC80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Prokurator Prokuratury Rejonowej Warszawa Mokotów skierował do Sądu Rejonowego dla Warszawy-Mokotowa w Warszawie akt oskarżenia przeciwko Mariuszowi L. Oskarżonego reprezentuje obrońca – adw. Paweł R.</w:t>
      </w:r>
    </w:p>
    <w:p w14:paraId="604A9ABE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Sprawa została zarejestrowana pod sygnaturą VII K 58/25.</w:t>
      </w:r>
    </w:p>
    <w:p w14:paraId="291F489C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kern w:val="0"/>
          <w14:ligatures w14:val="none"/>
        </w:rPr>
      </w:pPr>
      <w:r w:rsidRPr="00983A26">
        <w:rPr>
          <w:rFonts w:eastAsia="Calibri" w:cs="Times New Roman"/>
          <w:kern w:val="0"/>
          <w14:ligatures w14:val="none"/>
        </w:rPr>
        <w:t>Oskarżonemu zarzucono, że w dniu 8 listopada 2024 r. w Otwocku przy ul. Kołłątaja 42 publicznie znieważył flagę Rzeczypospolitej Polskiej w ten sposób, że zerwał ją z uchwytu zamocowanego na fasadzie budynku, następnie rzucił na ziemię, opluł i kilkakrotnie podeptał, przy czym czyn miał charakter chuligański, tj. stanowił występek z art. 137 § 1 k.k. w zw. z art. 57a § 1 k.k.</w:t>
      </w:r>
    </w:p>
    <w:p w14:paraId="30315D7E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Art. 35 § 1 k.p.k. stanowi, że sąd bada z urzędu swoją właściwość, a w razie stwierdzenia niewłaściwości – przekazuje sprawę właściwemu sądowi lub innemu organowi.</w:t>
      </w:r>
    </w:p>
    <w:p w14:paraId="70DC75ED" w14:textId="77777777" w:rsidR="00983A26" w:rsidRPr="00983A26" w:rsidRDefault="00983A26" w:rsidP="00983A26">
      <w:pPr>
        <w:spacing w:after="0" w:line="360" w:lineRule="auto"/>
        <w:ind w:left="0" w:right="0" w:firstLine="0"/>
        <w:rPr>
          <w:rFonts w:eastAsia="Calibri" w:cs="Times New Roman"/>
          <w:b/>
          <w:bCs/>
          <w:kern w:val="0"/>
          <w14:ligatures w14:val="none"/>
        </w:rPr>
      </w:pPr>
      <w:r w:rsidRPr="00983A26">
        <w:rPr>
          <w:rFonts w:eastAsia="Calibri" w:cs="Times New Roman"/>
          <w:b/>
          <w:bCs/>
          <w:kern w:val="0"/>
          <w14:ligatures w14:val="none"/>
        </w:rPr>
        <w:t>Proszę dokonać kontroli sprawy przez pryzmat przepisów dotyczących właściwości sądu i przygotować projekt odpowiedniego orzeczenia (wraz z niezbędnymi zarządzeniami).</w:t>
      </w:r>
    </w:p>
    <w:p w14:paraId="498EE4D1" w14:textId="77777777" w:rsidR="00B34EC7" w:rsidRDefault="00B34EC7"/>
    <w:sectPr w:rsidR="00B34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63D6"/>
    <w:multiLevelType w:val="hybridMultilevel"/>
    <w:tmpl w:val="DE10B142"/>
    <w:lvl w:ilvl="0" w:tplc="1FCE9EF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394027"/>
    <w:multiLevelType w:val="hybridMultilevel"/>
    <w:tmpl w:val="47FCEFCA"/>
    <w:lvl w:ilvl="0" w:tplc="8662C850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67403A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373E60"/>
    <w:multiLevelType w:val="hybridMultilevel"/>
    <w:tmpl w:val="274848A8"/>
    <w:lvl w:ilvl="0" w:tplc="C602BF4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A457873"/>
    <w:multiLevelType w:val="hybridMultilevel"/>
    <w:tmpl w:val="B1E04A6A"/>
    <w:lvl w:ilvl="0" w:tplc="1CB0147A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4935F23"/>
    <w:multiLevelType w:val="hybridMultilevel"/>
    <w:tmpl w:val="933252DA"/>
    <w:lvl w:ilvl="0" w:tplc="1C8A3BE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DF8521F"/>
    <w:multiLevelType w:val="hybridMultilevel"/>
    <w:tmpl w:val="88BE59E4"/>
    <w:lvl w:ilvl="0" w:tplc="6F628106">
      <w:start w:val="1"/>
      <w:numFmt w:val="low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210C25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424782B"/>
    <w:multiLevelType w:val="hybridMultilevel"/>
    <w:tmpl w:val="CFC6589A"/>
    <w:lvl w:ilvl="0" w:tplc="9D1A605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C20953"/>
    <w:multiLevelType w:val="hybridMultilevel"/>
    <w:tmpl w:val="B7D6177E"/>
    <w:lvl w:ilvl="0" w:tplc="D254604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EBC79EC"/>
    <w:multiLevelType w:val="hybridMultilevel"/>
    <w:tmpl w:val="49C0C104"/>
    <w:lvl w:ilvl="0" w:tplc="378672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0C1EA3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A3178EB"/>
    <w:multiLevelType w:val="hybridMultilevel"/>
    <w:tmpl w:val="08F284AC"/>
    <w:lvl w:ilvl="0" w:tplc="5418B58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BCA5BAC"/>
    <w:multiLevelType w:val="hybridMultilevel"/>
    <w:tmpl w:val="7346D286"/>
    <w:lvl w:ilvl="0" w:tplc="6F8CCD8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B1BC1"/>
    <w:multiLevelType w:val="hybridMultilevel"/>
    <w:tmpl w:val="EBE2EAB2"/>
    <w:lvl w:ilvl="0" w:tplc="DF987F5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6E37AD5"/>
    <w:multiLevelType w:val="hybridMultilevel"/>
    <w:tmpl w:val="F33CF3B2"/>
    <w:lvl w:ilvl="0" w:tplc="6F628106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8DF2246"/>
    <w:multiLevelType w:val="hybridMultilevel"/>
    <w:tmpl w:val="C942A668"/>
    <w:lvl w:ilvl="0" w:tplc="9488C9F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6227D34"/>
    <w:multiLevelType w:val="hybridMultilevel"/>
    <w:tmpl w:val="D230373A"/>
    <w:lvl w:ilvl="0" w:tplc="4A1C994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8764867"/>
    <w:multiLevelType w:val="hybridMultilevel"/>
    <w:tmpl w:val="5F001BAE"/>
    <w:lvl w:ilvl="0" w:tplc="471687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4616324">
    <w:abstractNumId w:val="20"/>
  </w:num>
  <w:num w:numId="2" w16cid:durableId="244455794">
    <w:abstractNumId w:val="18"/>
  </w:num>
  <w:num w:numId="3" w16cid:durableId="1722825891">
    <w:abstractNumId w:val="18"/>
  </w:num>
  <w:num w:numId="4" w16cid:durableId="939677841">
    <w:abstractNumId w:val="5"/>
  </w:num>
  <w:num w:numId="5" w16cid:durableId="828248301">
    <w:abstractNumId w:val="10"/>
  </w:num>
  <w:num w:numId="6" w16cid:durableId="1510024506">
    <w:abstractNumId w:val="15"/>
  </w:num>
  <w:num w:numId="7" w16cid:durableId="1747921474">
    <w:abstractNumId w:val="8"/>
  </w:num>
  <w:num w:numId="8" w16cid:durableId="1379739805">
    <w:abstractNumId w:val="17"/>
  </w:num>
  <w:num w:numId="9" w16cid:durableId="753549920">
    <w:abstractNumId w:val="13"/>
  </w:num>
  <w:num w:numId="10" w16cid:durableId="1692754360">
    <w:abstractNumId w:val="2"/>
  </w:num>
  <w:num w:numId="11" w16cid:durableId="696539242">
    <w:abstractNumId w:val="22"/>
  </w:num>
  <w:num w:numId="12" w16cid:durableId="1016735672">
    <w:abstractNumId w:val="11"/>
  </w:num>
  <w:num w:numId="13" w16cid:durableId="1560558814">
    <w:abstractNumId w:val="1"/>
  </w:num>
  <w:num w:numId="14" w16cid:durableId="1890070029">
    <w:abstractNumId w:val="16"/>
  </w:num>
  <w:num w:numId="15" w16cid:durableId="1621455520">
    <w:abstractNumId w:val="4"/>
  </w:num>
  <w:num w:numId="16" w16cid:durableId="2125807234">
    <w:abstractNumId w:val="9"/>
  </w:num>
  <w:num w:numId="17" w16cid:durableId="132796903">
    <w:abstractNumId w:val="19"/>
  </w:num>
  <w:num w:numId="18" w16cid:durableId="1478379591">
    <w:abstractNumId w:val="12"/>
  </w:num>
  <w:num w:numId="19" w16cid:durableId="1136920795">
    <w:abstractNumId w:val="3"/>
  </w:num>
  <w:num w:numId="20" w16cid:durableId="1342197294">
    <w:abstractNumId w:val="6"/>
  </w:num>
  <w:num w:numId="21" w16cid:durableId="722950584">
    <w:abstractNumId w:val="21"/>
  </w:num>
  <w:num w:numId="22" w16cid:durableId="2060009492">
    <w:abstractNumId w:val="0"/>
  </w:num>
  <w:num w:numId="23" w16cid:durableId="919825152">
    <w:abstractNumId w:val="14"/>
  </w:num>
  <w:num w:numId="24" w16cid:durableId="898516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26"/>
    <w:rsid w:val="0017340A"/>
    <w:rsid w:val="001F578F"/>
    <w:rsid w:val="003C5056"/>
    <w:rsid w:val="00404812"/>
    <w:rsid w:val="004E23CD"/>
    <w:rsid w:val="00886BAA"/>
    <w:rsid w:val="00983A26"/>
    <w:rsid w:val="009A74E1"/>
    <w:rsid w:val="00AF3A6E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7257"/>
  <w15:chartTrackingRefBased/>
  <w15:docId w15:val="{365C80F6-2C59-4BE3-BC12-22FB7551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3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3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A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3A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3A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3A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3A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3A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3A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83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3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A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3A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3A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3A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3A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3A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3A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3A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3A26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3A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3A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3A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3A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3A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3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3A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3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884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1</cp:revision>
  <dcterms:created xsi:type="dcterms:W3CDTF">2026-07-22T14:37:00Z</dcterms:created>
  <dcterms:modified xsi:type="dcterms:W3CDTF">2026-07-22T14:37:00Z</dcterms:modified>
</cp:coreProperties>
</file>