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4EF9F" w14:textId="77777777" w:rsidR="005946EE" w:rsidRPr="005946EE" w:rsidRDefault="005946EE" w:rsidP="005946EE">
      <w:pPr>
        <w:spacing w:after="0" w:line="360" w:lineRule="auto"/>
        <w:ind w:left="0" w:right="0" w:hanging="142"/>
        <w:jc w:val="center"/>
        <w:rPr>
          <w:rFonts w:eastAsia="Calibri" w:cs="Times New Roman"/>
          <w:b/>
          <w:kern w:val="0"/>
          <w:u w:val="single"/>
          <w14:ligatures w14:val="none"/>
        </w:rPr>
      </w:pPr>
      <w:r w:rsidRPr="005946EE">
        <w:rPr>
          <w:rFonts w:eastAsia="Calibri" w:cs="Times New Roman"/>
          <w:b/>
          <w:kern w:val="0"/>
          <w:u w:val="single"/>
          <w14:ligatures w14:val="none"/>
        </w:rPr>
        <w:t>Pytania z zakresu prawa cywilnego oraz postępowania cywilnego</w:t>
      </w:r>
    </w:p>
    <w:p w14:paraId="16895D16" w14:textId="77777777" w:rsidR="005946EE" w:rsidRPr="005946EE" w:rsidRDefault="005946EE" w:rsidP="005946EE">
      <w:pPr>
        <w:spacing w:after="0" w:line="360" w:lineRule="auto"/>
        <w:ind w:left="0" w:right="0" w:hanging="142"/>
        <w:jc w:val="center"/>
        <w:rPr>
          <w:rFonts w:eastAsia="Calibri" w:cs="Times New Roman"/>
          <w:b/>
          <w:kern w:val="0"/>
          <w:u w:val="single"/>
          <w14:ligatures w14:val="none"/>
        </w:rPr>
      </w:pPr>
    </w:p>
    <w:p w14:paraId="2EC4E2EB"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postępowania cywilnego do właściwości sądu okręgowego należy sprawa:</w:t>
      </w:r>
    </w:p>
    <w:p w14:paraId="5242279D" w14:textId="77777777" w:rsidR="005946EE" w:rsidRPr="005946EE" w:rsidRDefault="005946EE" w:rsidP="005946EE">
      <w:pPr>
        <w:numPr>
          <w:ilvl w:val="0"/>
          <w:numId w:val="7"/>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o prawa majątkowe, w których wartość przedmiotu sporu przewyższa siedemdziesiąt pięć tysięcy złotych;</w:t>
      </w:r>
    </w:p>
    <w:p w14:paraId="4EF68E7F" w14:textId="77777777" w:rsidR="005946EE" w:rsidRPr="005946EE" w:rsidRDefault="005946EE" w:rsidP="005946EE">
      <w:pPr>
        <w:numPr>
          <w:ilvl w:val="0"/>
          <w:numId w:val="7"/>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o rozwiązanie przysposobienia;</w:t>
      </w:r>
    </w:p>
    <w:p w14:paraId="63C57D85" w14:textId="77777777" w:rsidR="005946EE" w:rsidRPr="005946EE" w:rsidRDefault="005946EE" w:rsidP="005946EE">
      <w:pPr>
        <w:numPr>
          <w:ilvl w:val="0"/>
          <w:numId w:val="7"/>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o odszkodowanie z tytułu szkody wyrządzonej przez wydanie prawomocnego orzeczenia niezgodnego z prawem, w której wartość przedmiotu sporu nie przewyższa stu tysięcy złotych.</w:t>
      </w:r>
    </w:p>
    <w:p w14:paraId="2A6D39EC" w14:textId="77777777" w:rsidR="005946EE" w:rsidRPr="005946EE" w:rsidRDefault="005946EE" w:rsidP="005946EE">
      <w:pPr>
        <w:spacing w:after="0" w:line="360" w:lineRule="auto"/>
        <w:ind w:left="0" w:right="0" w:firstLine="0"/>
        <w:rPr>
          <w:rFonts w:eastAsia="Calibri" w:cs="Times New Roman"/>
          <w:kern w:val="0"/>
          <w14:ligatures w14:val="none"/>
        </w:rPr>
      </w:pPr>
    </w:p>
    <w:p w14:paraId="3B53EE13"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postępowania cywilnego, jeżeli pismo procesowe nie może otrzymać prawidłowego biegu wskutek niezachowania warunków formalnych lub jeżeli od pisma nie uiszczono należnej opłaty, przewodniczący wzywa stronę, pod rygorem zwrócenia pisma, do poprawienia, uzupełnienia lub opłacenia go. Dla osoby zamieszkałej lub mającej siedzibę poza terytorium Unii Europejskiej, która nie ma w kraju przedstawiciela, termin na poprawienie, uzupełnienie lub opłacenie pisma procesowego:</w:t>
      </w:r>
    </w:p>
    <w:p w14:paraId="1DE1127D" w14:textId="77777777" w:rsidR="005946EE" w:rsidRPr="005946EE" w:rsidRDefault="005946EE" w:rsidP="005946EE">
      <w:pPr>
        <w:numPr>
          <w:ilvl w:val="0"/>
          <w:numId w:val="8"/>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wynosi tydzień;</w:t>
      </w:r>
    </w:p>
    <w:p w14:paraId="5E8F191B" w14:textId="77777777" w:rsidR="005946EE" w:rsidRPr="005946EE" w:rsidRDefault="005946EE" w:rsidP="005946EE">
      <w:pPr>
        <w:numPr>
          <w:ilvl w:val="0"/>
          <w:numId w:val="8"/>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nie może być krótszy niż miesiąc;</w:t>
      </w:r>
    </w:p>
    <w:p w14:paraId="32C2F687" w14:textId="77777777" w:rsidR="005946EE" w:rsidRPr="005946EE" w:rsidRDefault="005946EE" w:rsidP="005946EE">
      <w:pPr>
        <w:numPr>
          <w:ilvl w:val="0"/>
          <w:numId w:val="8"/>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nie może być krótszy niż trzy miesiące.</w:t>
      </w:r>
    </w:p>
    <w:p w14:paraId="7C786B16" w14:textId="77777777" w:rsidR="005946EE" w:rsidRPr="005946EE" w:rsidRDefault="005946EE" w:rsidP="005946EE">
      <w:pPr>
        <w:spacing w:after="0" w:line="360" w:lineRule="auto"/>
        <w:ind w:left="0" w:right="0" w:firstLine="0"/>
        <w:rPr>
          <w:rFonts w:eastAsia="Calibri" w:cs="Times New Roman"/>
          <w:kern w:val="0"/>
          <w14:ligatures w14:val="none"/>
        </w:rPr>
      </w:pPr>
    </w:p>
    <w:p w14:paraId="32B12739"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postępowania cywilnego, jeżeli z uwagi na swą treść postanowienie o udzieleniu zabezpieczenia podlega wykonaniu w inny sposób niż w drodze egzekucji, podstawą przeprowadzenia postępowania o wykonanie postanowienia o udzieleniu zabezpieczenia jest:</w:t>
      </w:r>
    </w:p>
    <w:p w14:paraId="513A95D7" w14:textId="77777777" w:rsidR="005946EE" w:rsidRPr="005946EE" w:rsidRDefault="005946EE" w:rsidP="005946EE">
      <w:pPr>
        <w:numPr>
          <w:ilvl w:val="0"/>
          <w:numId w:val="9"/>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postanowienie o udzieleniu zabezpieczenia zaopatrzone z urzędu przez sąd w klauzulę wykonalności;</w:t>
      </w:r>
    </w:p>
    <w:p w14:paraId="4F9334AB" w14:textId="77777777" w:rsidR="005946EE" w:rsidRPr="005946EE" w:rsidRDefault="005946EE" w:rsidP="005946EE">
      <w:pPr>
        <w:numPr>
          <w:ilvl w:val="0"/>
          <w:numId w:val="9"/>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postanowienie o udzieleniu zabezpieczenia zaopatrzone z urzędu przez przewodniczącego we wzmiankę o wykonalności;</w:t>
      </w:r>
    </w:p>
    <w:p w14:paraId="5D585C9C" w14:textId="77777777" w:rsidR="005946EE" w:rsidRPr="005946EE" w:rsidRDefault="005946EE" w:rsidP="005946EE">
      <w:pPr>
        <w:numPr>
          <w:ilvl w:val="0"/>
          <w:numId w:val="9"/>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postanowienie o udzieleniu zabezpieczenia zaopatrzone na wniosek uprawnionego przez przewodniczącego we wzmiankę o wykonalności.</w:t>
      </w:r>
    </w:p>
    <w:p w14:paraId="21E5BA5E" w14:textId="77777777" w:rsidR="005946EE" w:rsidRPr="005946EE" w:rsidRDefault="005946EE" w:rsidP="005946EE">
      <w:pPr>
        <w:spacing w:after="0" w:line="360" w:lineRule="auto"/>
        <w:ind w:left="0" w:right="0" w:firstLine="0"/>
        <w:contextualSpacing/>
        <w:rPr>
          <w:rFonts w:eastAsia="Calibri" w:cs="Times New Roman"/>
          <w:kern w:val="0"/>
          <w14:ligatures w14:val="none"/>
        </w:rPr>
      </w:pPr>
    </w:p>
    <w:p w14:paraId="052B7EFF" w14:textId="77777777" w:rsidR="005946EE" w:rsidRPr="005946EE" w:rsidRDefault="005946EE" w:rsidP="005946EE">
      <w:pPr>
        <w:spacing w:after="0" w:line="360" w:lineRule="auto"/>
        <w:ind w:left="0" w:right="0" w:firstLine="0"/>
        <w:contextualSpacing/>
        <w:rPr>
          <w:rFonts w:eastAsia="Calibri" w:cs="Times New Roman"/>
          <w:kern w:val="0"/>
          <w14:ligatures w14:val="none"/>
        </w:rPr>
      </w:pPr>
    </w:p>
    <w:p w14:paraId="70B39DC1"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lastRenderedPageBreak/>
        <w:t>Zgodnie z Kodeksem postępowania cywilnego wniesienie skargi na postanowienie referendarza sądowego o odmowie ustanowienia adwokata lub radcy prawnego:</w:t>
      </w:r>
    </w:p>
    <w:p w14:paraId="35B7D9E5" w14:textId="77777777" w:rsidR="005946EE" w:rsidRPr="005946EE" w:rsidRDefault="005946EE" w:rsidP="005946EE">
      <w:pPr>
        <w:numPr>
          <w:ilvl w:val="0"/>
          <w:numId w:val="10"/>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wstrzymuje wykonalność tego postanowienia;</w:t>
      </w:r>
    </w:p>
    <w:p w14:paraId="692EE581" w14:textId="77777777" w:rsidR="005946EE" w:rsidRPr="005946EE" w:rsidRDefault="005946EE" w:rsidP="005946EE">
      <w:pPr>
        <w:numPr>
          <w:ilvl w:val="0"/>
          <w:numId w:val="10"/>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nie wstrzymuje wykonalności tego postanowienia;</w:t>
      </w:r>
    </w:p>
    <w:p w14:paraId="4727725C" w14:textId="77777777" w:rsidR="005946EE" w:rsidRPr="005946EE" w:rsidRDefault="005946EE" w:rsidP="005946EE">
      <w:pPr>
        <w:numPr>
          <w:ilvl w:val="0"/>
          <w:numId w:val="10"/>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skutkuje utratą mocy orzeczenia referendarza sądowego.</w:t>
      </w:r>
    </w:p>
    <w:p w14:paraId="4F5B0DDC" w14:textId="77777777" w:rsidR="005946EE" w:rsidRPr="005946EE" w:rsidRDefault="005946EE" w:rsidP="005946EE">
      <w:pPr>
        <w:spacing w:after="0" w:line="360" w:lineRule="auto"/>
        <w:ind w:left="0" w:right="0" w:firstLine="0"/>
        <w:rPr>
          <w:rFonts w:eastAsia="Calibri" w:cs="Times New Roman"/>
          <w:kern w:val="0"/>
          <w14:ligatures w14:val="none"/>
        </w:rPr>
      </w:pPr>
    </w:p>
    <w:p w14:paraId="732F93F9"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 xml:space="preserve">Zgodnie z Kodeksem postępowania cywilnego w nakazie zapłaty sąd nakazuje pozwanemu, aby w terminie oznaczonym w nakazie zaspokoił roszczenie w całości wraz z kosztami albo wniósł środek zaskarżenia. Termin na wniesienie środka zaskarżenia wynosi: </w:t>
      </w:r>
    </w:p>
    <w:p w14:paraId="034CBC9C" w14:textId="77777777" w:rsidR="005946EE" w:rsidRPr="005946EE" w:rsidRDefault="005946EE" w:rsidP="005946EE">
      <w:pPr>
        <w:numPr>
          <w:ilvl w:val="0"/>
          <w:numId w:val="11"/>
        </w:numPr>
        <w:spacing w:after="0" w:line="360" w:lineRule="auto"/>
        <w:ind w:right="0"/>
        <w:contextualSpacing/>
        <w:jc w:val="left"/>
        <w:rPr>
          <w:rFonts w:eastAsia="Calibri" w:cs="Times New Roman"/>
          <w:kern w:val="0"/>
          <w14:ligatures w14:val="none"/>
        </w:rPr>
      </w:pPr>
      <w:r w:rsidRPr="005946EE">
        <w:rPr>
          <w:rFonts w:eastAsia="Times New Roman" w:cs="Times New Roman"/>
          <w:kern w:val="0"/>
          <w:lang w:eastAsia="pl-PL"/>
          <w14:ligatures w14:val="none"/>
        </w:rPr>
        <w:t>miesiąc od dnia doręczenia nakazu w przypadku nakazu zapłaty wydanego w postępowaniu upominawczym, gdy doręczenie nakazu pozwanemu ma mieć miejsce w kraju;</w:t>
      </w:r>
    </w:p>
    <w:p w14:paraId="31EC579B" w14:textId="77777777" w:rsidR="005946EE" w:rsidRPr="005946EE" w:rsidRDefault="005946EE" w:rsidP="005946EE">
      <w:pPr>
        <w:numPr>
          <w:ilvl w:val="0"/>
          <w:numId w:val="11"/>
        </w:numPr>
        <w:spacing w:after="0" w:line="360" w:lineRule="auto"/>
        <w:ind w:right="0"/>
        <w:contextualSpacing/>
        <w:jc w:val="left"/>
        <w:rPr>
          <w:rFonts w:eastAsia="Times New Roman" w:cs="Times New Roman"/>
          <w:kern w:val="0"/>
          <w:lang w:eastAsia="pl-PL"/>
          <w14:ligatures w14:val="none"/>
        </w:rPr>
      </w:pPr>
      <w:r w:rsidRPr="005946EE">
        <w:rPr>
          <w:rFonts w:eastAsia="Times New Roman" w:cs="Times New Roman"/>
          <w:kern w:val="0"/>
          <w:lang w:eastAsia="pl-PL"/>
          <w14:ligatures w14:val="none"/>
        </w:rPr>
        <w:t>dwa tygodnie od dnia doręczenia nakazu w przypadku nakazu zapłaty wydanego w postępowaniu upominawczym, gdy doręczenie nakazu pozwanemu ma mieć miejsce poza granicami kraju na terytorium Unii Europejskiej;</w:t>
      </w:r>
    </w:p>
    <w:p w14:paraId="52E9B239" w14:textId="77777777" w:rsidR="005946EE" w:rsidRPr="005946EE" w:rsidRDefault="005946EE" w:rsidP="005946EE">
      <w:pPr>
        <w:numPr>
          <w:ilvl w:val="0"/>
          <w:numId w:val="11"/>
        </w:numPr>
        <w:spacing w:after="0" w:line="360" w:lineRule="auto"/>
        <w:ind w:right="0"/>
        <w:contextualSpacing/>
        <w:jc w:val="left"/>
        <w:rPr>
          <w:rFonts w:eastAsia="Times New Roman" w:cs="Times New Roman"/>
          <w:kern w:val="0"/>
          <w:lang w:eastAsia="pl-PL"/>
          <w14:ligatures w14:val="none"/>
        </w:rPr>
      </w:pPr>
      <w:r w:rsidRPr="005946EE">
        <w:rPr>
          <w:rFonts w:eastAsia="Times New Roman" w:cs="Times New Roman"/>
          <w:kern w:val="0"/>
          <w:lang w:eastAsia="pl-PL"/>
          <w14:ligatures w14:val="none"/>
        </w:rPr>
        <w:t>trzy miesiące od dnia doręczenia nakazu, gdy doręczenie nakazu pozwanemu ma mieć miejsce poza terytorium Unii Europejskiej.</w:t>
      </w:r>
    </w:p>
    <w:p w14:paraId="6A67082D" w14:textId="77777777" w:rsidR="005946EE" w:rsidRPr="005946EE" w:rsidRDefault="005946EE" w:rsidP="005946EE">
      <w:pPr>
        <w:spacing w:after="0" w:line="360" w:lineRule="auto"/>
        <w:ind w:left="0" w:right="0" w:firstLine="0"/>
        <w:rPr>
          <w:rFonts w:eastAsia="Calibri" w:cs="Times New Roman"/>
          <w:kern w:val="0"/>
          <w14:ligatures w14:val="none"/>
        </w:rPr>
      </w:pPr>
    </w:p>
    <w:p w14:paraId="0DB18D87"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postępowania cywilnego sąd umorzy postępowanie:</w:t>
      </w:r>
    </w:p>
    <w:p w14:paraId="6F8F2C16" w14:textId="77777777" w:rsidR="005946EE" w:rsidRPr="005946EE" w:rsidRDefault="005946EE" w:rsidP="005946EE">
      <w:pPr>
        <w:numPr>
          <w:ilvl w:val="0"/>
          <w:numId w:val="12"/>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zawieszone na zgodny wniosek stron, jeżeli wniosek o podjęcie postępowania nie został zgłoszony w ciągu sześciu miesięcy od daty postanowienia o zawieszeniu postępowania;</w:t>
      </w:r>
    </w:p>
    <w:p w14:paraId="629B4319" w14:textId="77777777" w:rsidR="005946EE" w:rsidRPr="005946EE" w:rsidRDefault="005946EE" w:rsidP="005946EE">
      <w:pPr>
        <w:numPr>
          <w:ilvl w:val="0"/>
          <w:numId w:val="12"/>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zawieszone z powodu śmierci strony, po upływie trzech lat, od daty postanowienia o zawieszeniu postępowania z tej przyczyny;</w:t>
      </w:r>
    </w:p>
    <w:p w14:paraId="796A00B4" w14:textId="77777777" w:rsidR="005946EE" w:rsidRPr="005946EE" w:rsidRDefault="005946EE" w:rsidP="005946EE">
      <w:pPr>
        <w:numPr>
          <w:ilvl w:val="0"/>
          <w:numId w:val="12"/>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zawieszone z powodu niestawiennictwa obu stron na rozprawie, jeżeli wniosek o podjęcie postępowania nie został zgłoszony w ciągu sześciu miesięcy od daty postanowienia o zawieszeniu postępowania.</w:t>
      </w:r>
    </w:p>
    <w:p w14:paraId="72A9E56F" w14:textId="77777777" w:rsidR="005946EE" w:rsidRPr="005946EE" w:rsidRDefault="005946EE" w:rsidP="005946EE">
      <w:pPr>
        <w:spacing w:after="0" w:line="360" w:lineRule="auto"/>
        <w:ind w:left="0" w:right="0" w:firstLine="0"/>
        <w:rPr>
          <w:rFonts w:eastAsia="Calibri" w:cs="Times New Roman"/>
          <w:b/>
          <w:kern w:val="0"/>
          <w14:ligatures w14:val="none"/>
        </w:rPr>
      </w:pPr>
    </w:p>
    <w:p w14:paraId="7AD3D0D3"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postępowania cywilnego sąd odrzuci pozew:</w:t>
      </w:r>
    </w:p>
    <w:p w14:paraId="2AFF3872" w14:textId="77777777" w:rsidR="005946EE" w:rsidRPr="005946EE" w:rsidRDefault="005946EE" w:rsidP="005946EE">
      <w:pPr>
        <w:numPr>
          <w:ilvl w:val="0"/>
          <w:numId w:val="13"/>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jeśli jedna ze stron nie ma zdolności sądowej;</w:t>
      </w:r>
    </w:p>
    <w:p w14:paraId="1C2548C1" w14:textId="77777777" w:rsidR="005946EE" w:rsidRPr="005946EE" w:rsidRDefault="005946EE" w:rsidP="005946EE">
      <w:pPr>
        <w:numPr>
          <w:ilvl w:val="0"/>
          <w:numId w:val="13"/>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jeśli nie można ustalić adresu zamieszkania pozwanego;</w:t>
      </w:r>
    </w:p>
    <w:p w14:paraId="5D64D7B2" w14:textId="77777777" w:rsidR="005946EE" w:rsidRPr="005946EE" w:rsidRDefault="005946EE" w:rsidP="005946EE">
      <w:pPr>
        <w:numPr>
          <w:ilvl w:val="0"/>
          <w:numId w:val="13"/>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jeśli powód nie uzupełnił w terminie braków formalnych pozwu.</w:t>
      </w:r>
    </w:p>
    <w:p w14:paraId="00B3C1BA" w14:textId="77777777" w:rsidR="005946EE" w:rsidRPr="005946EE" w:rsidRDefault="005946EE" w:rsidP="005946EE">
      <w:pPr>
        <w:spacing w:after="0" w:line="360" w:lineRule="auto"/>
        <w:ind w:left="0" w:right="0" w:firstLine="0"/>
        <w:contextualSpacing/>
        <w:rPr>
          <w:rFonts w:eastAsia="Calibri" w:cs="Times New Roman"/>
          <w:kern w:val="0"/>
          <w14:ligatures w14:val="none"/>
        </w:rPr>
      </w:pPr>
    </w:p>
    <w:p w14:paraId="0B1BABEE" w14:textId="77777777" w:rsidR="005946EE" w:rsidRPr="005946EE" w:rsidRDefault="005946EE" w:rsidP="005946EE">
      <w:pPr>
        <w:spacing w:after="0" w:line="360" w:lineRule="auto"/>
        <w:ind w:left="0" w:right="0" w:firstLine="0"/>
        <w:contextualSpacing/>
        <w:rPr>
          <w:rFonts w:eastAsia="Calibri" w:cs="Times New Roman"/>
          <w:kern w:val="0"/>
          <w14:ligatures w14:val="none"/>
        </w:rPr>
      </w:pPr>
    </w:p>
    <w:p w14:paraId="3F9F7525" w14:textId="77777777" w:rsidR="005946EE" w:rsidRPr="005946EE" w:rsidRDefault="005946EE" w:rsidP="005946EE">
      <w:pPr>
        <w:numPr>
          <w:ilvl w:val="0"/>
          <w:numId w:val="6"/>
        </w:numPr>
        <w:shd w:val="clear" w:color="auto" w:fill="FFFFFF"/>
        <w:spacing w:after="0" w:line="360" w:lineRule="auto"/>
        <w:ind w:right="0"/>
        <w:contextualSpacing/>
        <w:jc w:val="left"/>
        <w:rPr>
          <w:rFonts w:eastAsia="Times New Roman" w:cs="Times New Roman"/>
          <w:b/>
          <w:bCs/>
          <w:color w:val="000000"/>
          <w:kern w:val="0"/>
          <w:lang w:eastAsia="pl-PL"/>
          <w14:ligatures w14:val="none"/>
        </w:rPr>
      </w:pPr>
      <w:r w:rsidRPr="005946EE">
        <w:rPr>
          <w:rFonts w:eastAsia="Times New Roman" w:cs="Times New Roman"/>
          <w:b/>
          <w:bCs/>
          <w:color w:val="000000"/>
          <w:kern w:val="0"/>
          <w:lang w:eastAsia="pl-PL"/>
          <w14:ligatures w14:val="none"/>
        </w:rPr>
        <w:t xml:space="preserve">Jeżeli powództwo jest oczywiście bezzasadne: </w:t>
      </w:r>
    </w:p>
    <w:p w14:paraId="635DEDCF" w14:textId="77777777" w:rsidR="005946EE" w:rsidRPr="005946EE" w:rsidRDefault="005946EE" w:rsidP="005946EE">
      <w:pPr>
        <w:numPr>
          <w:ilvl w:val="0"/>
          <w:numId w:val="14"/>
        </w:numPr>
        <w:spacing w:after="0" w:line="360" w:lineRule="auto"/>
        <w:ind w:right="0"/>
        <w:jc w:val="left"/>
        <w:rPr>
          <w:rFonts w:eastAsia="Calibri" w:cs="Times New Roman"/>
          <w:color w:val="000000"/>
          <w:kern w:val="0"/>
          <w14:ligatures w14:val="none"/>
        </w:rPr>
      </w:pPr>
      <w:r w:rsidRPr="005946EE">
        <w:rPr>
          <w:rFonts w:eastAsia="Times New Roman" w:cs="Times New Roman"/>
          <w:color w:val="000000"/>
          <w:kern w:val="0"/>
          <w:lang w:eastAsia="pl-PL"/>
          <w14:ligatures w14:val="none"/>
        </w:rPr>
        <w:t>sąd może oddalić powództwo na posiedzeniu niejawnym, nie doręczając pozwu pozwanemu ani nie rozpoznając wniosków złożonych wraz z pozwem;</w:t>
      </w:r>
    </w:p>
    <w:p w14:paraId="25790CCC" w14:textId="77777777" w:rsidR="005946EE" w:rsidRPr="005946EE" w:rsidRDefault="005946EE" w:rsidP="005946EE">
      <w:pPr>
        <w:numPr>
          <w:ilvl w:val="0"/>
          <w:numId w:val="14"/>
        </w:numPr>
        <w:spacing w:after="0" w:line="360" w:lineRule="auto"/>
        <w:ind w:right="0"/>
        <w:jc w:val="left"/>
        <w:rPr>
          <w:rFonts w:eastAsia="Calibri" w:cs="Times New Roman"/>
          <w:color w:val="000000"/>
          <w:kern w:val="0"/>
          <w14:ligatures w14:val="none"/>
        </w:rPr>
      </w:pPr>
      <w:r w:rsidRPr="005946EE">
        <w:rPr>
          <w:rFonts w:eastAsia="Calibri" w:cs="Times New Roman"/>
          <w:color w:val="000000"/>
          <w:kern w:val="0"/>
          <w14:ligatures w14:val="none"/>
        </w:rPr>
        <w:t xml:space="preserve">sąd może umorzyć postępowanie </w:t>
      </w:r>
      <w:r w:rsidRPr="005946EE">
        <w:rPr>
          <w:rFonts w:eastAsia="Times New Roman" w:cs="Times New Roman"/>
          <w:color w:val="000000"/>
          <w:kern w:val="0"/>
          <w:lang w:eastAsia="pl-PL"/>
          <w14:ligatures w14:val="none"/>
        </w:rPr>
        <w:t>na posiedzeniu niejawnym,</w:t>
      </w:r>
      <w:r w:rsidRPr="005946EE">
        <w:rPr>
          <w:rFonts w:eastAsia="Calibri" w:cs="Times New Roman"/>
          <w:color w:val="000000"/>
          <w:kern w:val="0"/>
          <w14:ligatures w14:val="none"/>
        </w:rPr>
        <w:t xml:space="preserve"> po wniesieniu odpowiedzi na pozew;</w:t>
      </w:r>
    </w:p>
    <w:p w14:paraId="2FECA57C" w14:textId="77777777" w:rsidR="005946EE" w:rsidRPr="005946EE" w:rsidRDefault="005946EE" w:rsidP="005946EE">
      <w:pPr>
        <w:numPr>
          <w:ilvl w:val="0"/>
          <w:numId w:val="14"/>
        </w:numPr>
        <w:spacing w:after="0" w:line="360" w:lineRule="auto"/>
        <w:ind w:right="0"/>
        <w:jc w:val="left"/>
        <w:rPr>
          <w:rFonts w:eastAsia="Calibri" w:cs="Times New Roman"/>
          <w:color w:val="000000"/>
          <w:kern w:val="0"/>
          <w14:ligatures w14:val="none"/>
        </w:rPr>
      </w:pPr>
      <w:r w:rsidRPr="005946EE">
        <w:rPr>
          <w:rFonts w:eastAsia="Times New Roman" w:cs="Times New Roman"/>
          <w:color w:val="000000"/>
          <w:kern w:val="0"/>
          <w:lang w:eastAsia="pl-PL"/>
          <w14:ligatures w14:val="none"/>
        </w:rPr>
        <w:t xml:space="preserve">sąd nie może oddalić powództwa na posiedzeniu niejawnym bez </w:t>
      </w:r>
      <w:r w:rsidRPr="005946EE">
        <w:rPr>
          <w:rFonts w:eastAsia="Calibri" w:cs="Times New Roman"/>
          <w:color w:val="000000"/>
          <w:kern w:val="0"/>
          <w:shd w:val="clear" w:color="auto" w:fill="FFFFFF"/>
          <w14:ligatures w14:val="none"/>
        </w:rPr>
        <w:t>wezwania powoda do usunięcia braków, uiszczenia opłaty, sprawdzenia wartości przedmiotu sporu.</w:t>
      </w:r>
    </w:p>
    <w:p w14:paraId="24954271" w14:textId="77777777" w:rsidR="005946EE" w:rsidRPr="005946EE" w:rsidRDefault="005946EE" w:rsidP="005946EE">
      <w:pPr>
        <w:spacing w:after="0" w:line="360" w:lineRule="auto"/>
        <w:ind w:left="0" w:right="0" w:firstLine="0"/>
        <w:rPr>
          <w:rFonts w:eastAsia="Calibri" w:cs="Times New Roman"/>
          <w:color w:val="000000"/>
          <w:kern w:val="0"/>
          <w:shd w:val="clear" w:color="auto" w:fill="FFFFFF"/>
          <w14:ligatures w14:val="none"/>
        </w:rPr>
      </w:pPr>
    </w:p>
    <w:p w14:paraId="0D22ABF7"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postępowania cywilnego sądem właściwym do rozpoznania powództwa o własność lub inne prawa rzeczowe na nieruchomości jest:</w:t>
      </w:r>
    </w:p>
    <w:p w14:paraId="062BDE14" w14:textId="77777777" w:rsidR="005946EE" w:rsidRPr="005946EE" w:rsidRDefault="005946EE" w:rsidP="005946EE">
      <w:pPr>
        <w:numPr>
          <w:ilvl w:val="0"/>
          <w:numId w:val="15"/>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sąd, w okręgu którego zamieszkuje pozwany;</w:t>
      </w:r>
    </w:p>
    <w:p w14:paraId="5BF35358" w14:textId="77777777" w:rsidR="005946EE" w:rsidRPr="005946EE" w:rsidRDefault="005946EE" w:rsidP="005946EE">
      <w:pPr>
        <w:numPr>
          <w:ilvl w:val="0"/>
          <w:numId w:val="15"/>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sąd, w okręgu którego zamieszkuje pozwany lub w okręgu którego jest położona nieruchomość;</w:t>
      </w:r>
    </w:p>
    <w:p w14:paraId="20D14C02" w14:textId="77777777" w:rsidR="005946EE" w:rsidRPr="005946EE" w:rsidRDefault="005946EE" w:rsidP="005946EE">
      <w:pPr>
        <w:numPr>
          <w:ilvl w:val="0"/>
          <w:numId w:val="15"/>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wyłącznie sąd miejsca położenia nieruchomości.</w:t>
      </w:r>
    </w:p>
    <w:p w14:paraId="185DB7EE" w14:textId="77777777" w:rsidR="005946EE" w:rsidRPr="005946EE" w:rsidRDefault="005946EE" w:rsidP="005946EE">
      <w:pPr>
        <w:spacing w:after="0" w:line="360" w:lineRule="auto"/>
        <w:ind w:left="0" w:right="0" w:firstLine="0"/>
        <w:rPr>
          <w:rFonts w:eastAsia="Calibri" w:cs="Times New Roman"/>
          <w:color w:val="000000"/>
          <w:kern w:val="0"/>
          <w14:ligatures w14:val="none"/>
        </w:rPr>
      </w:pPr>
    </w:p>
    <w:p w14:paraId="5E65D8B6"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spadkobierca nabywa spadek:</w:t>
      </w:r>
    </w:p>
    <w:p w14:paraId="0437A140" w14:textId="77777777" w:rsidR="005946EE" w:rsidRPr="005946EE" w:rsidRDefault="005946EE" w:rsidP="005946EE">
      <w:pPr>
        <w:numPr>
          <w:ilvl w:val="0"/>
          <w:numId w:val="16"/>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z chwilą otwarcia spadku;</w:t>
      </w:r>
    </w:p>
    <w:p w14:paraId="6531D3A3" w14:textId="77777777" w:rsidR="005946EE" w:rsidRPr="005946EE" w:rsidRDefault="005946EE" w:rsidP="005946EE">
      <w:pPr>
        <w:numPr>
          <w:ilvl w:val="0"/>
          <w:numId w:val="16"/>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z chwilą złożenia oświadczenia o przyjęciu spadku;</w:t>
      </w:r>
    </w:p>
    <w:p w14:paraId="439107AE" w14:textId="77777777" w:rsidR="005946EE" w:rsidRPr="005946EE" w:rsidRDefault="005946EE" w:rsidP="005946EE">
      <w:pPr>
        <w:numPr>
          <w:ilvl w:val="0"/>
          <w:numId w:val="16"/>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z chwilą uprawomocnienia się postanowienia o stwierdzeniu nabycia spadku.</w:t>
      </w:r>
    </w:p>
    <w:p w14:paraId="2DE07488" w14:textId="77777777" w:rsidR="005946EE" w:rsidRPr="005946EE" w:rsidRDefault="005946EE" w:rsidP="005946EE">
      <w:pPr>
        <w:spacing w:after="0" w:line="360" w:lineRule="auto"/>
        <w:ind w:left="0" w:right="0" w:firstLine="0"/>
        <w:rPr>
          <w:rFonts w:eastAsia="Calibri" w:cs="Times New Roman"/>
          <w:kern w:val="0"/>
          <w14:ligatures w14:val="none"/>
        </w:rPr>
      </w:pPr>
    </w:p>
    <w:p w14:paraId="16E3427A"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spadek otwiera się z chwilą:</w:t>
      </w:r>
    </w:p>
    <w:p w14:paraId="2779F739" w14:textId="77777777" w:rsidR="005946EE" w:rsidRPr="005946EE" w:rsidRDefault="005946EE" w:rsidP="005946EE">
      <w:pPr>
        <w:numPr>
          <w:ilvl w:val="0"/>
          <w:numId w:val="17"/>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śmierci spadkodawcy;</w:t>
      </w:r>
    </w:p>
    <w:p w14:paraId="0D0E0254" w14:textId="77777777" w:rsidR="005946EE" w:rsidRPr="005946EE" w:rsidRDefault="005946EE" w:rsidP="005946EE">
      <w:pPr>
        <w:numPr>
          <w:ilvl w:val="0"/>
          <w:numId w:val="17"/>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uprawomocnienia się postanowienia sądu w przedmiocie stwierdzenia nabycia spadku;</w:t>
      </w:r>
    </w:p>
    <w:p w14:paraId="6D7C01F7" w14:textId="77777777" w:rsidR="005946EE" w:rsidRPr="005946EE" w:rsidRDefault="005946EE" w:rsidP="005946EE">
      <w:pPr>
        <w:numPr>
          <w:ilvl w:val="0"/>
          <w:numId w:val="17"/>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złożenia przez spadkobierców oświadczeń spadkowych w przedmiocie przyjęcia lub odrzucenia spadku.</w:t>
      </w:r>
    </w:p>
    <w:p w14:paraId="49645C70" w14:textId="77777777" w:rsidR="005946EE" w:rsidRPr="005946EE" w:rsidRDefault="005946EE" w:rsidP="005946EE">
      <w:pPr>
        <w:spacing w:after="0" w:line="360" w:lineRule="auto"/>
        <w:ind w:left="0" w:right="0" w:firstLine="0"/>
        <w:rPr>
          <w:rFonts w:eastAsia="Calibri" w:cs="Times New Roman"/>
          <w:kern w:val="0"/>
          <w14:ligatures w14:val="none"/>
        </w:rPr>
      </w:pPr>
    </w:p>
    <w:p w14:paraId="2A3B0A55"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ograniczonymi prawami rzeczowymi są:</w:t>
      </w:r>
    </w:p>
    <w:p w14:paraId="360829F5" w14:textId="77777777" w:rsidR="005946EE" w:rsidRPr="005946EE" w:rsidRDefault="005946EE" w:rsidP="005946EE">
      <w:pPr>
        <w:numPr>
          <w:ilvl w:val="0"/>
          <w:numId w:val="18"/>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użytkowanie wieczyste, zastaw, hipoteka;</w:t>
      </w:r>
    </w:p>
    <w:p w14:paraId="723E75FD" w14:textId="77777777" w:rsidR="005946EE" w:rsidRPr="005946EE" w:rsidRDefault="005946EE" w:rsidP="005946EE">
      <w:pPr>
        <w:numPr>
          <w:ilvl w:val="0"/>
          <w:numId w:val="18"/>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użytkowanie, spółdzielcze lokatorskie prawo do lokalu, hipoteka;</w:t>
      </w:r>
    </w:p>
    <w:p w14:paraId="614170E1" w14:textId="77777777" w:rsidR="005946EE" w:rsidRPr="005946EE" w:rsidRDefault="005946EE" w:rsidP="005946EE">
      <w:pPr>
        <w:numPr>
          <w:ilvl w:val="0"/>
          <w:numId w:val="18"/>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użytkowanie, spółdzielcze własnościowe prawo do lokalu, służebność.</w:t>
      </w:r>
    </w:p>
    <w:p w14:paraId="26945F40" w14:textId="77777777" w:rsidR="005946EE" w:rsidRPr="005946EE" w:rsidRDefault="005946EE" w:rsidP="005946EE">
      <w:pPr>
        <w:spacing w:after="0" w:line="360" w:lineRule="auto"/>
        <w:ind w:left="0" w:right="0" w:firstLine="0"/>
        <w:rPr>
          <w:rFonts w:eastAsia="Calibri" w:cs="Times New Roman"/>
          <w:b/>
          <w:kern w:val="0"/>
          <w14:ligatures w14:val="none"/>
        </w:rPr>
      </w:pPr>
    </w:p>
    <w:p w14:paraId="2516E93A" w14:textId="77777777" w:rsidR="005946EE" w:rsidRPr="005946EE" w:rsidRDefault="005946EE" w:rsidP="005946EE">
      <w:pPr>
        <w:spacing w:after="0" w:line="360" w:lineRule="auto"/>
        <w:ind w:left="0" w:right="0" w:firstLine="0"/>
        <w:rPr>
          <w:rFonts w:eastAsia="Calibri" w:cs="Times New Roman"/>
          <w:b/>
          <w:kern w:val="0"/>
          <w14:ligatures w14:val="none"/>
        </w:rPr>
      </w:pPr>
    </w:p>
    <w:p w14:paraId="7AFE1AC7" w14:textId="77777777" w:rsidR="005946EE" w:rsidRPr="005946EE" w:rsidRDefault="005946EE" w:rsidP="005946EE">
      <w:pPr>
        <w:spacing w:after="0" w:line="360" w:lineRule="auto"/>
        <w:ind w:left="0" w:right="0" w:firstLine="0"/>
        <w:rPr>
          <w:rFonts w:eastAsia="Calibri" w:cs="Times New Roman"/>
          <w:b/>
          <w:kern w:val="0"/>
          <w14:ligatures w14:val="none"/>
        </w:rPr>
      </w:pPr>
    </w:p>
    <w:p w14:paraId="015633CA"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koniec terminu przedawnienia przypada na ostatni dzień roku kalendarzowego:</w:t>
      </w:r>
    </w:p>
    <w:p w14:paraId="630D8AA5" w14:textId="77777777" w:rsidR="005946EE" w:rsidRPr="005946EE" w:rsidRDefault="005946EE" w:rsidP="005946EE">
      <w:pPr>
        <w:numPr>
          <w:ilvl w:val="0"/>
          <w:numId w:val="19"/>
        </w:numPr>
        <w:spacing w:after="0" w:line="360" w:lineRule="auto"/>
        <w:ind w:right="0"/>
        <w:contextualSpacing/>
        <w:jc w:val="left"/>
        <w:rPr>
          <w:rFonts w:eastAsia="Calibri" w:cs="Times New Roman"/>
          <w:b/>
          <w:kern w:val="0"/>
          <w14:ligatures w14:val="none"/>
        </w:rPr>
      </w:pPr>
      <w:r w:rsidRPr="005946EE">
        <w:rPr>
          <w:rFonts w:eastAsia="Calibri" w:cs="Times New Roman"/>
          <w:kern w:val="0"/>
          <w14:ligatures w14:val="none"/>
        </w:rPr>
        <w:t>chyba że termin przedawnienia jest krótszy niż rok;</w:t>
      </w:r>
    </w:p>
    <w:p w14:paraId="198CD9FA" w14:textId="77777777" w:rsidR="005946EE" w:rsidRPr="005946EE" w:rsidRDefault="005946EE" w:rsidP="005946EE">
      <w:pPr>
        <w:numPr>
          <w:ilvl w:val="0"/>
          <w:numId w:val="19"/>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chyba że termin przedawnienia jest krótszy niż dwa lata;</w:t>
      </w:r>
    </w:p>
    <w:p w14:paraId="4B92F854" w14:textId="77777777" w:rsidR="005946EE" w:rsidRPr="005946EE" w:rsidRDefault="005946EE" w:rsidP="005946EE">
      <w:pPr>
        <w:numPr>
          <w:ilvl w:val="0"/>
          <w:numId w:val="19"/>
        </w:numPr>
        <w:spacing w:after="0" w:line="360" w:lineRule="auto"/>
        <w:ind w:right="0"/>
        <w:contextualSpacing/>
        <w:jc w:val="left"/>
        <w:rPr>
          <w:rFonts w:eastAsia="Calibri" w:cs="Times New Roman"/>
          <w:b/>
          <w:kern w:val="0"/>
          <w14:ligatures w14:val="none"/>
        </w:rPr>
      </w:pPr>
      <w:r w:rsidRPr="005946EE">
        <w:rPr>
          <w:rFonts w:eastAsia="Calibri" w:cs="Times New Roman"/>
          <w:kern w:val="0"/>
          <w14:ligatures w14:val="none"/>
        </w:rPr>
        <w:t>chyba że termin przedawnienia jest krótszy niż trzy lata.</w:t>
      </w:r>
    </w:p>
    <w:p w14:paraId="604D844F" w14:textId="77777777" w:rsidR="005946EE" w:rsidRPr="005946EE" w:rsidRDefault="005946EE" w:rsidP="005946EE">
      <w:pPr>
        <w:spacing w:after="0" w:line="360" w:lineRule="auto"/>
        <w:ind w:left="0" w:right="0" w:firstLine="0"/>
        <w:rPr>
          <w:rFonts w:eastAsia="Calibri" w:cs="Times New Roman"/>
          <w:b/>
          <w:kern w:val="0"/>
          <w14:ligatures w14:val="none"/>
        </w:rPr>
      </w:pPr>
    </w:p>
    <w:p w14:paraId="18D9A3B7"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jeżeli wysokość odsetek wynikających z czynności prawnej przekracza wysokość odsetek maksymalnych:</w:t>
      </w:r>
    </w:p>
    <w:p w14:paraId="706A7539" w14:textId="77777777" w:rsidR="005946EE" w:rsidRPr="005946EE" w:rsidRDefault="005946EE" w:rsidP="005946EE">
      <w:pPr>
        <w:numPr>
          <w:ilvl w:val="0"/>
          <w:numId w:val="20"/>
        </w:numPr>
        <w:spacing w:after="0" w:line="360" w:lineRule="auto"/>
        <w:ind w:right="0"/>
        <w:contextualSpacing/>
        <w:jc w:val="left"/>
        <w:rPr>
          <w:rFonts w:eastAsia="Calibri" w:cs="Times New Roman"/>
          <w:bCs/>
          <w:kern w:val="0"/>
          <w14:ligatures w14:val="none"/>
        </w:rPr>
      </w:pPr>
      <w:r w:rsidRPr="005946EE">
        <w:rPr>
          <w:rFonts w:eastAsia="Calibri" w:cs="Times New Roman"/>
          <w:bCs/>
          <w:kern w:val="0"/>
          <w14:ligatures w14:val="none"/>
        </w:rPr>
        <w:t>należą się odsetki maksymalne;</w:t>
      </w:r>
    </w:p>
    <w:p w14:paraId="3F20126E" w14:textId="77777777" w:rsidR="005946EE" w:rsidRPr="005946EE" w:rsidRDefault="005946EE" w:rsidP="005946EE">
      <w:pPr>
        <w:numPr>
          <w:ilvl w:val="0"/>
          <w:numId w:val="20"/>
        </w:numPr>
        <w:spacing w:after="0" w:line="360" w:lineRule="auto"/>
        <w:ind w:right="0"/>
        <w:contextualSpacing/>
        <w:jc w:val="left"/>
        <w:rPr>
          <w:rFonts w:eastAsia="Calibri" w:cs="Times New Roman"/>
          <w:b/>
          <w:kern w:val="0"/>
          <w14:ligatures w14:val="none"/>
        </w:rPr>
      </w:pPr>
      <w:r w:rsidRPr="005946EE">
        <w:rPr>
          <w:rFonts w:eastAsia="Calibri" w:cs="Times New Roman"/>
          <w:kern w:val="0"/>
          <w14:ligatures w14:val="none"/>
        </w:rPr>
        <w:t>należą się odsetki ustawowe;</w:t>
      </w:r>
    </w:p>
    <w:p w14:paraId="4C6FD037" w14:textId="77777777" w:rsidR="005946EE" w:rsidRPr="005946EE" w:rsidRDefault="005946EE" w:rsidP="005946EE">
      <w:pPr>
        <w:numPr>
          <w:ilvl w:val="0"/>
          <w:numId w:val="20"/>
        </w:numPr>
        <w:spacing w:after="0" w:line="360" w:lineRule="auto"/>
        <w:ind w:right="0"/>
        <w:contextualSpacing/>
        <w:jc w:val="left"/>
        <w:rPr>
          <w:rFonts w:eastAsia="Calibri" w:cs="Times New Roman"/>
          <w:b/>
          <w:kern w:val="0"/>
          <w14:ligatures w14:val="none"/>
        </w:rPr>
      </w:pPr>
      <w:r w:rsidRPr="005946EE">
        <w:rPr>
          <w:rFonts w:eastAsia="Calibri" w:cs="Times New Roman"/>
          <w:kern w:val="0"/>
          <w14:ligatures w14:val="none"/>
        </w:rPr>
        <w:t>należą się odsetki ustawowe za opóźnienie.</w:t>
      </w:r>
    </w:p>
    <w:p w14:paraId="7893A80B" w14:textId="77777777" w:rsidR="005946EE" w:rsidRPr="005946EE" w:rsidRDefault="005946EE" w:rsidP="005946EE">
      <w:pPr>
        <w:spacing w:after="0" w:line="360" w:lineRule="auto"/>
        <w:ind w:left="0" w:right="0" w:firstLine="0"/>
        <w:rPr>
          <w:rFonts w:eastAsia="Calibri" w:cs="Times New Roman"/>
          <w:color w:val="000000"/>
          <w:kern w:val="0"/>
          <w14:ligatures w14:val="none"/>
        </w:rPr>
      </w:pPr>
    </w:p>
    <w:p w14:paraId="53A29492" w14:textId="77777777" w:rsidR="005946EE" w:rsidRPr="005946EE" w:rsidRDefault="005946EE" w:rsidP="005946EE">
      <w:pPr>
        <w:numPr>
          <w:ilvl w:val="0"/>
          <w:numId w:val="6"/>
        </w:numPr>
        <w:spacing w:after="0" w:line="360" w:lineRule="auto"/>
        <w:ind w:right="0"/>
        <w:contextualSpacing/>
        <w:jc w:val="left"/>
        <w:rPr>
          <w:rFonts w:eastAsia="Times New Roman" w:cs="Times New Roman"/>
          <w:b/>
          <w:bCs/>
          <w:kern w:val="0"/>
          <w:lang w:eastAsia="pl-PL"/>
          <w14:ligatures w14:val="none"/>
        </w:rPr>
      </w:pPr>
      <w:r w:rsidRPr="005946EE">
        <w:rPr>
          <w:rFonts w:eastAsia="Calibri" w:cs="Times New Roman"/>
          <w:b/>
          <w:bCs/>
          <w:kern w:val="0"/>
          <w14:ligatures w14:val="none"/>
        </w:rPr>
        <w:t xml:space="preserve">Zgodnie z Kodeksem cywilnym posiadacz rzeczy, który </w:t>
      </w:r>
      <w:r w:rsidRPr="005946EE">
        <w:rPr>
          <w:rFonts w:eastAsia="Calibri" w:cs="Times New Roman"/>
          <w:b/>
          <w:bCs/>
          <w:kern w:val="0"/>
          <w:shd w:val="clear" w:color="auto" w:fill="FFFFFF"/>
          <w14:ligatures w14:val="none"/>
        </w:rPr>
        <w:t>rzeczą faktycznie włada jak właściciel jest:</w:t>
      </w:r>
      <w:r w:rsidRPr="005946EE">
        <w:rPr>
          <w:rFonts w:eastAsia="Calibri" w:cs="Times New Roman"/>
          <w:b/>
          <w:bCs/>
          <w:kern w:val="0"/>
          <w14:ligatures w14:val="none"/>
        </w:rPr>
        <w:t xml:space="preserve"> </w:t>
      </w:r>
    </w:p>
    <w:p w14:paraId="1F2A9882" w14:textId="77777777" w:rsidR="005946EE" w:rsidRPr="005946EE" w:rsidRDefault="005946EE" w:rsidP="005946EE">
      <w:pPr>
        <w:numPr>
          <w:ilvl w:val="0"/>
          <w:numId w:val="21"/>
        </w:numPr>
        <w:spacing w:after="0" w:line="360" w:lineRule="auto"/>
        <w:ind w:right="0"/>
        <w:jc w:val="left"/>
        <w:rPr>
          <w:rFonts w:eastAsia="Calibri" w:cs="Times New Roman"/>
          <w:kern w:val="0"/>
          <w14:ligatures w14:val="none"/>
        </w:rPr>
      </w:pPr>
      <w:r w:rsidRPr="005946EE">
        <w:rPr>
          <w:rFonts w:eastAsia="Calibri" w:cs="Times New Roman"/>
          <w:kern w:val="0"/>
          <w14:ligatures w14:val="none"/>
        </w:rPr>
        <w:t>posiadaczem zależnym;</w:t>
      </w:r>
    </w:p>
    <w:p w14:paraId="4029632E" w14:textId="77777777" w:rsidR="005946EE" w:rsidRPr="005946EE" w:rsidRDefault="005946EE" w:rsidP="005946EE">
      <w:pPr>
        <w:numPr>
          <w:ilvl w:val="0"/>
          <w:numId w:val="21"/>
        </w:numPr>
        <w:spacing w:after="0" w:line="360" w:lineRule="auto"/>
        <w:ind w:right="0"/>
        <w:jc w:val="left"/>
        <w:rPr>
          <w:rFonts w:eastAsia="Calibri" w:cs="Times New Roman"/>
          <w:kern w:val="0"/>
          <w14:ligatures w14:val="none"/>
        </w:rPr>
      </w:pPr>
      <w:r w:rsidRPr="005946EE">
        <w:rPr>
          <w:rFonts w:eastAsia="Calibri" w:cs="Times New Roman"/>
          <w:kern w:val="0"/>
          <w14:ligatures w14:val="none"/>
        </w:rPr>
        <w:t>posiadaczem samoistnym;</w:t>
      </w:r>
    </w:p>
    <w:p w14:paraId="0ECEBF25" w14:textId="77777777" w:rsidR="005946EE" w:rsidRPr="005946EE" w:rsidRDefault="005946EE" w:rsidP="005946EE">
      <w:pPr>
        <w:numPr>
          <w:ilvl w:val="0"/>
          <w:numId w:val="21"/>
        </w:numPr>
        <w:spacing w:after="0" w:line="360" w:lineRule="auto"/>
        <w:ind w:right="0"/>
        <w:jc w:val="left"/>
        <w:rPr>
          <w:rFonts w:eastAsia="Calibri" w:cs="Times New Roman"/>
          <w:kern w:val="0"/>
          <w14:ligatures w14:val="none"/>
        </w:rPr>
      </w:pPr>
      <w:r w:rsidRPr="005946EE">
        <w:rPr>
          <w:rFonts w:eastAsia="Calibri" w:cs="Times New Roman"/>
          <w:kern w:val="0"/>
          <w:shd w:val="clear" w:color="auto" w:fill="FFFFFF"/>
          <w14:ligatures w14:val="none"/>
        </w:rPr>
        <w:t>dzierżycielem.</w:t>
      </w:r>
    </w:p>
    <w:p w14:paraId="2C87A358" w14:textId="77777777" w:rsidR="005946EE" w:rsidRPr="005946EE" w:rsidRDefault="005946EE" w:rsidP="005946EE">
      <w:pPr>
        <w:spacing w:after="0" w:line="360" w:lineRule="auto"/>
        <w:ind w:left="0" w:right="0" w:firstLine="0"/>
        <w:rPr>
          <w:rFonts w:eastAsia="Calibri" w:cs="Times New Roman"/>
          <w:b/>
          <w:kern w:val="0"/>
          <w14:ligatures w14:val="none"/>
        </w:rPr>
      </w:pPr>
    </w:p>
    <w:p w14:paraId="6A922395"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z</w:t>
      </w:r>
      <w:r w:rsidRPr="005946EE">
        <w:rPr>
          <w:rFonts w:eastAsia="Calibri" w:cs="Times New Roman"/>
          <w:b/>
          <w:bCs/>
          <w:kern w:val="0"/>
          <w:shd w:val="clear" w:color="auto" w:fill="FFFFFF"/>
          <w14:ligatures w14:val="none"/>
        </w:rPr>
        <w:t>a zobowiązania spółki cywilnej wspólnicy odpowiedzialni są:</w:t>
      </w:r>
    </w:p>
    <w:p w14:paraId="036C0950" w14:textId="77777777" w:rsidR="005946EE" w:rsidRPr="005946EE" w:rsidRDefault="005946EE" w:rsidP="005946EE">
      <w:pPr>
        <w:numPr>
          <w:ilvl w:val="0"/>
          <w:numId w:val="22"/>
        </w:numPr>
        <w:spacing w:after="0" w:line="360" w:lineRule="auto"/>
        <w:ind w:right="0"/>
        <w:jc w:val="left"/>
        <w:rPr>
          <w:rFonts w:eastAsia="Calibri" w:cs="Times New Roman"/>
          <w:kern w:val="0"/>
          <w14:ligatures w14:val="none"/>
        </w:rPr>
      </w:pPr>
      <w:r w:rsidRPr="005946EE">
        <w:rPr>
          <w:rFonts w:eastAsia="Calibri" w:cs="Times New Roman"/>
          <w:kern w:val="0"/>
          <w:shd w:val="clear" w:color="auto" w:fill="FFFFFF"/>
          <w14:ligatures w14:val="none"/>
        </w:rPr>
        <w:t>Solidarnie;</w:t>
      </w:r>
    </w:p>
    <w:p w14:paraId="62ADF10A" w14:textId="77777777" w:rsidR="005946EE" w:rsidRPr="005946EE" w:rsidRDefault="005946EE" w:rsidP="005946EE">
      <w:pPr>
        <w:numPr>
          <w:ilvl w:val="0"/>
          <w:numId w:val="22"/>
        </w:numPr>
        <w:spacing w:after="0" w:line="360" w:lineRule="auto"/>
        <w:ind w:right="0"/>
        <w:jc w:val="left"/>
        <w:rPr>
          <w:rFonts w:eastAsia="Calibri" w:cs="Times New Roman"/>
          <w:kern w:val="0"/>
          <w14:ligatures w14:val="none"/>
        </w:rPr>
      </w:pPr>
      <w:r w:rsidRPr="005946EE">
        <w:rPr>
          <w:rFonts w:eastAsia="Calibri" w:cs="Times New Roman"/>
          <w:kern w:val="0"/>
          <w:shd w:val="clear" w:color="auto" w:fill="FFFFFF"/>
          <w14:ligatures w14:val="none"/>
        </w:rPr>
        <w:t xml:space="preserve">in </w:t>
      </w:r>
      <w:proofErr w:type="spellStart"/>
      <w:r w:rsidRPr="005946EE">
        <w:rPr>
          <w:rFonts w:eastAsia="Calibri" w:cs="Times New Roman"/>
          <w:kern w:val="0"/>
          <w:shd w:val="clear" w:color="auto" w:fill="FFFFFF"/>
          <w14:ligatures w14:val="none"/>
        </w:rPr>
        <w:t>solidum</w:t>
      </w:r>
      <w:proofErr w:type="spellEnd"/>
      <w:r w:rsidRPr="005946EE">
        <w:rPr>
          <w:rFonts w:eastAsia="Calibri" w:cs="Times New Roman"/>
          <w:kern w:val="0"/>
          <w:shd w:val="clear" w:color="auto" w:fill="FFFFFF"/>
          <w14:ligatures w14:val="none"/>
        </w:rPr>
        <w:t>;</w:t>
      </w:r>
    </w:p>
    <w:p w14:paraId="46050890" w14:textId="77777777" w:rsidR="005946EE" w:rsidRPr="005946EE" w:rsidRDefault="005946EE" w:rsidP="005946EE">
      <w:pPr>
        <w:numPr>
          <w:ilvl w:val="0"/>
          <w:numId w:val="22"/>
        </w:numPr>
        <w:spacing w:after="0" w:line="360" w:lineRule="auto"/>
        <w:ind w:right="0"/>
        <w:jc w:val="left"/>
        <w:rPr>
          <w:rFonts w:eastAsia="Calibri" w:cs="Times New Roman"/>
          <w:kern w:val="0"/>
          <w14:ligatures w14:val="none"/>
        </w:rPr>
      </w:pPr>
      <w:r w:rsidRPr="005946EE">
        <w:rPr>
          <w:rFonts w:eastAsia="Calibri" w:cs="Times New Roman"/>
          <w:kern w:val="0"/>
          <w:shd w:val="clear" w:color="auto" w:fill="FFFFFF"/>
          <w14:ligatures w14:val="none"/>
        </w:rPr>
        <w:t>w stosunku do posiadanych udziałów w spółce.</w:t>
      </w:r>
    </w:p>
    <w:p w14:paraId="4A2666C9" w14:textId="77777777" w:rsidR="005946EE" w:rsidRPr="005946EE" w:rsidRDefault="005946EE" w:rsidP="005946EE">
      <w:pPr>
        <w:spacing w:after="0" w:line="360" w:lineRule="auto"/>
        <w:ind w:left="0" w:right="0" w:firstLine="0"/>
        <w:rPr>
          <w:rFonts w:eastAsia="Calibri" w:cs="Times New Roman"/>
          <w:b/>
          <w:kern w:val="0"/>
          <w14:ligatures w14:val="none"/>
        </w:rPr>
      </w:pPr>
    </w:p>
    <w:p w14:paraId="3E420B21"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posiadacz nieruchomości niebędący jej właścicielem nabywa własność, jeśli posiada nieruchomość nieprzerwanie od:</w:t>
      </w:r>
    </w:p>
    <w:p w14:paraId="06B1D03A" w14:textId="77777777" w:rsidR="005946EE" w:rsidRPr="005946EE" w:rsidRDefault="005946EE" w:rsidP="005946EE">
      <w:pPr>
        <w:numPr>
          <w:ilvl w:val="0"/>
          <w:numId w:val="23"/>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lat dziesięciu, jako posiadacz samoistny;</w:t>
      </w:r>
    </w:p>
    <w:p w14:paraId="6E8DEF60" w14:textId="77777777" w:rsidR="005946EE" w:rsidRPr="005946EE" w:rsidRDefault="005946EE" w:rsidP="005946EE">
      <w:pPr>
        <w:numPr>
          <w:ilvl w:val="0"/>
          <w:numId w:val="23"/>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lat dwudziestu, jako posiadacz w złej wierze;</w:t>
      </w:r>
    </w:p>
    <w:p w14:paraId="56251974" w14:textId="77777777" w:rsidR="005946EE" w:rsidRPr="005946EE" w:rsidRDefault="005946EE" w:rsidP="005946EE">
      <w:pPr>
        <w:numPr>
          <w:ilvl w:val="0"/>
          <w:numId w:val="23"/>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lat dwudziestu, jako posiadacz samoistny w dobrej wierze.</w:t>
      </w:r>
    </w:p>
    <w:p w14:paraId="684E606A" w14:textId="77777777" w:rsidR="005946EE" w:rsidRPr="005946EE" w:rsidRDefault="005946EE" w:rsidP="005946EE">
      <w:pPr>
        <w:spacing w:after="0" w:line="360" w:lineRule="auto"/>
        <w:ind w:left="0" w:right="0" w:firstLine="0"/>
        <w:rPr>
          <w:rFonts w:eastAsia="Calibri" w:cs="Times New Roman"/>
          <w:kern w:val="0"/>
          <w14:ligatures w14:val="none"/>
        </w:rPr>
      </w:pPr>
    </w:p>
    <w:p w14:paraId="21D5A437" w14:textId="77777777" w:rsidR="005946EE" w:rsidRPr="005946EE" w:rsidRDefault="005946EE" w:rsidP="005946EE">
      <w:pPr>
        <w:numPr>
          <w:ilvl w:val="0"/>
          <w:numId w:val="6"/>
        </w:numPr>
        <w:spacing w:after="0" w:line="360" w:lineRule="auto"/>
        <w:ind w:right="0"/>
        <w:contextualSpacing/>
        <w:jc w:val="left"/>
        <w:rPr>
          <w:rFonts w:eastAsia="Calibri" w:cs="Times New Roman"/>
          <w:b/>
          <w:bCs/>
          <w:kern w:val="0"/>
          <w14:ligatures w14:val="none"/>
        </w:rPr>
      </w:pPr>
      <w:r w:rsidRPr="005946EE">
        <w:rPr>
          <w:rFonts w:eastAsia="Calibri" w:cs="Times New Roman"/>
          <w:b/>
          <w:bCs/>
          <w:kern w:val="0"/>
          <w14:ligatures w14:val="none"/>
        </w:rPr>
        <w:t>Zgodnie z Kodeksem cywilnym pełnomocnictwo ogólne powinno być:</w:t>
      </w:r>
    </w:p>
    <w:p w14:paraId="1C09A66D" w14:textId="77777777" w:rsidR="005946EE" w:rsidRPr="005946EE" w:rsidRDefault="005946EE" w:rsidP="005946EE">
      <w:pPr>
        <w:numPr>
          <w:ilvl w:val="0"/>
          <w:numId w:val="24"/>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pod rygorem nieważności udzielone na piśmie;</w:t>
      </w:r>
    </w:p>
    <w:p w14:paraId="39427246" w14:textId="77777777" w:rsidR="005946EE" w:rsidRPr="005946EE" w:rsidRDefault="005946EE" w:rsidP="005946EE">
      <w:pPr>
        <w:numPr>
          <w:ilvl w:val="0"/>
          <w:numId w:val="24"/>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lastRenderedPageBreak/>
        <w:t>udzielone w formie aktu notarialnego lub z podpisem urzędowo poświadczonym;</w:t>
      </w:r>
    </w:p>
    <w:p w14:paraId="4526B6A1" w14:textId="77777777" w:rsidR="005946EE" w:rsidRPr="005946EE" w:rsidRDefault="005946EE" w:rsidP="005946EE">
      <w:pPr>
        <w:numPr>
          <w:ilvl w:val="0"/>
          <w:numId w:val="24"/>
        </w:numPr>
        <w:spacing w:after="0" w:line="360" w:lineRule="auto"/>
        <w:ind w:right="0"/>
        <w:contextualSpacing/>
        <w:jc w:val="left"/>
        <w:rPr>
          <w:rFonts w:eastAsia="Calibri" w:cs="Times New Roman"/>
          <w:kern w:val="0"/>
          <w14:ligatures w14:val="none"/>
        </w:rPr>
      </w:pPr>
      <w:r w:rsidRPr="005946EE">
        <w:rPr>
          <w:rFonts w:eastAsia="Calibri" w:cs="Times New Roman"/>
          <w:kern w:val="0"/>
          <w14:ligatures w14:val="none"/>
        </w:rPr>
        <w:t>udzielone na piśmie dla celów dowodowych.</w:t>
      </w:r>
    </w:p>
    <w:p w14:paraId="10916D52" w14:textId="77777777" w:rsidR="00B34EC7" w:rsidRDefault="00B34EC7"/>
    <w:p w14:paraId="33B1772C" w14:textId="77777777" w:rsidR="005946EE" w:rsidRDefault="005946EE"/>
    <w:p w14:paraId="71BA3659" w14:textId="77777777" w:rsidR="005946EE" w:rsidRPr="005946EE" w:rsidRDefault="005946EE" w:rsidP="005946EE">
      <w:pPr>
        <w:autoSpaceDE w:val="0"/>
        <w:autoSpaceDN w:val="0"/>
        <w:adjustRightInd w:val="0"/>
        <w:spacing w:after="0" w:line="360" w:lineRule="auto"/>
        <w:ind w:left="0" w:right="0" w:firstLine="0"/>
        <w:rPr>
          <w:rFonts w:eastAsia="Calibri" w:cs="Times New Roman"/>
          <w:b/>
          <w:color w:val="000000"/>
          <w:kern w:val="0"/>
          <w:u w:val="single"/>
          <w14:ligatures w14:val="none"/>
        </w:rPr>
      </w:pPr>
      <w:r w:rsidRPr="005946EE">
        <w:rPr>
          <w:rFonts w:eastAsia="Calibri" w:cs="Times New Roman"/>
          <w:b/>
          <w:color w:val="000000"/>
          <w:kern w:val="0"/>
          <w:u w:val="single"/>
          <w14:ligatures w14:val="none"/>
        </w:rPr>
        <w:t xml:space="preserve">PRAWO CYWILNE </w:t>
      </w:r>
    </w:p>
    <w:p w14:paraId="0FC3D644" w14:textId="77777777" w:rsidR="005946EE" w:rsidRPr="005946EE" w:rsidRDefault="005946EE" w:rsidP="005946EE">
      <w:pPr>
        <w:autoSpaceDE w:val="0"/>
        <w:autoSpaceDN w:val="0"/>
        <w:adjustRightInd w:val="0"/>
        <w:spacing w:after="0" w:line="360" w:lineRule="auto"/>
        <w:ind w:left="0" w:right="0" w:firstLine="0"/>
        <w:rPr>
          <w:rFonts w:eastAsia="Calibri" w:cs="Times New Roman"/>
          <w:b/>
          <w:color w:val="000000"/>
          <w:kern w:val="0"/>
          <w:u w:val="single"/>
          <w14:ligatures w14:val="none"/>
        </w:rPr>
      </w:pPr>
    </w:p>
    <w:p w14:paraId="66FFB1C3" w14:textId="77777777" w:rsidR="005946EE" w:rsidRPr="005946EE" w:rsidRDefault="005946EE" w:rsidP="005946EE">
      <w:pPr>
        <w:spacing w:after="0" w:line="360" w:lineRule="auto"/>
        <w:ind w:left="0" w:right="0" w:firstLine="708"/>
        <w:rPr>
          <w:rFonts w:eastAsia="Calibri" w:cs="Times New Roman"/>
          <w:kern w:val="0"/>
          <w14:ligatures w14:val="none"/>
        </w:rPr>
      </w:pPr>
      <w:r w:rsidRPr="005946EE">
        <w:rPr>
          <w:rFonts w:eastAsia="Calibri" w:cs="Times New Roman"/>
          <w:kern w:val="0"/>
          <w14:ligatures w14:val="none"/>
        </w:rPr>
        <w:t xml:space="preserve">W dniu 1 października 2025 roku Adam Nowak, reprezentowany przez profesjonalnego pełnomocnika będącego adwokatem, wniósł do Sądu Rejonowego dla Warszawy – Śródmieścia w Warszawie pozew przeciwko Piotrowi Kowalskiemu o zapłatę kwoty 100.000 zł z  ustawowymi odsetkami za opóźnienie od dnia wniesienia pozwu do dnia zapłaty. </w:t>
      </w:r>
    </w:p>
    <w:p w14:paraId="7A53757B" w14:textId="77777777" w:rsidR="005946EE" w:rsidRPr="005946EE" w:rsidRDefault="005946EE" w:rsidP="005946EE">
      <w:pPr>
        <w:spacing w:after="0" w:line="360" w:lineRule="auto"/>
        <w:ind w:left="0" w:right="0" w:firstLine="708"/>
        <w:rPr>
          <w:rFonts w:eastAsia="Calibri" w:cs="Times New Roman"/>
          <w:kern w:val="0"/>
          <w14:ligatures w14:val="none"/>
        </w:rPr>
      </w:pPr>
      <w:r w:rsidRPr="005946EE">
        <w:rPr>
          <w:rFonts w:eastAsia="Calibri" w:cs="Times New Roman"/>
          <w:kern w:val="0"/>
          <w14:ligatures w14:val="none"/>
        </w:rPr>
        <w:t xml:space="preserve">W uzasadnieniu pozwu zostało wskazane, że na podstawie umowy pożyczki powód przekazał pozwanemu kwotę dochodzoną pozwem, która do chwili obecnej nie została mu zwrócona pomimo upływu terminu zwrotu pożyczki. Sprawa została zarejestrowania w Rep. C i skierowana do referatu sędziego. </w:t>
      </w:r>
    </w:p>
    <w:p w14:paraId="6ECEE23F" w14:textId="77777777" w:rsidR="005946EE" w:rsidRPr="005946EE" w:rsidRDefault="005946EE" w:rsidP="005946EE">
      <w:pPr>
        <w:spacing w:after="0" w:line="360" w:lineRule="auto"/>
        <w:ind w:left="0" w:right="0" w:firstLine="708"/>
        <w:rPr>
          <w:rFonts w:eastAsia="Calibri" w:cs="Times New Roman"/>
          <w:kern w:val="0"/>
          <w14:ligatures w14:val="none"/>
        </w:rPr>
      </w:pPr>
      <w:r w:rsidRPr="005946EE">
        <w:rPr>
          <w:rFonts w:eastAsia="Calibri" w:cs="Times New Roman"/>
          <w:kern w:val="0"/>
          <w14:ligatures w14:val="none"/>
        </w:rPr>
        <w:t xml:space="preserve">Pozew nie został podpisany oraz nie został złożony odpis pozwu. </w:t>
      </w:r>
    </w:p>
    <w:p w14:paraId="11CA80C1" w14:textId="77777777" w:rsidR="005946EE" w:rsidRPr="005946EE" w:rsidRDefault="005946EE" w:rsidP="005946EE">
      <w:pPr>
        <w:spacing w:after="0" w:line="360" w:lineRule="auto"/>
        <w:ind w:left="0" w:right="0" w:firstLine="708"/>
        <w:rPr>
          <w:rFonts w:eastAsia="Calibri" w:cs="Times New Roman"/>
          <w:kern w:val="0"/>
          <w14:ligatures w14:val="none"/>
        </w:rPr>
      </w:pPr>
      <w:r w:rsidRPr="005946EE">
        <w:rPr>
          <w:rFonts w:eastAsia="Calibri" w:cs="Times New Roman"/>
          <w:kern w:val="0"/>
          <w14:ligatures w14:val="none"/>
        </w:rPr>
        <w:t>Pozwany zamieszkuje w obszarze właściwości Sądu Rejonowego dla Warszawy – Śródmieścia w Warszawie.</w:t>
      </w:r>
    </w:p>
    <w:p w14:paraId="3750D68B" w14:textId="20BA14F4" w:rsidR="005946EE" w:rsidRDefault="005946EE" w:rsidP="005946EE">
      <w:r w:rsidRPr="005946EE">
        <w:rPr>
          <w:rFonts w:eastAsia="Calibri" w:cs="Times New Roman"/>
          <w:b/>
          <w:bCs/>
          <w:kern w:val="0"/>
          <w14:ligatures w14:val="none"/>
        </w:rPr>
        <w:t>Jakie decyzje procesowe (orzeczenie, zarządzenie) powinny zostać podjęte w sprawie, przez kogo (Sąd, sędzia referent, przewodniczący) i na jakiej podstawie prawnej (jakie konkretnie przepisy prawne znajdą w sprawie zastosowanie).</w:t>
      </w:r>
    </w:p>
    <w:sectPr w:rsidR="005946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27C3"/>
    <w:multiLevelType w:val="hybridMultilevel"/>
    <w:tmpl w:val="3BEC2542"/>
    <w:lvl w:ilvl="0" w:tplc="6F628106">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3374E1"/>
    <w:multiLevelType w:val="hybridMultilevel"/>
    <w:tmpl w:val="6D48E5F8"/>
    <w:lvl w:ilvl="0" w:tplc="6F628106">
      <w:start w:val="1"/>
      <w:numFmt w:val="lowerLetter"/>
      <w:lvlText w:val="%1)"/>
      <w:lvlJc w:val="left"/>
      <w:pPr>
        <w:ind w:left="1068" w:hanging="360"/>
      </w:pPr>
      <w:rPr>
        <w:rFonts w:hint="default"/>
        <w:u w:val="none"/>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5FD4E8E"/>
    <w:multiLevelType w:val="hybridMultilevel"/>
    <w:tmpl w:val="6AA2482E"/>
    <w:lvl w:ilvl="0" w:tplc="6F628106">
      <w:start w:val="1"/>
      <w:numFmt w:val="lowerLetter"/>
      <w:lvlText w:val="%1)"/>
      <w:lvlJc w:val="left"/>
      <w:pPr>
        <w:ind w:left="1211" w:hanging="360"/>
      </w:pPr>
      <w:rPr>
        <w:rFonts w:hint="default"/>
        <w:u w:val="none"/>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6127697"/>
    <w:multiLevelType w:val="hybridMultilevel"/>
    <w:tmpl w:val="CA0830AE"/>
    <w:lvl w:ilvl="0" w:tplc="6F628106">
      <w:start w:val="1"/>
      <w:numFmt w:val="lowerLetter"/>
      <w:lvlText w:val="%1)"/>
      <w:lvlJc w:val="left"/>
      <w:pPr>
        <w:ind w:left="1068" w:hanging="360"/>
      </w:pPr>
      <w:rPr>
        <w:rFonts w:hint="default"/>
        <w:b w:val="0"/>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EEC07CE"/>
    <w:multiLevelType w:val="hybridMultilevel"/>
    <w:tmpl w:val="8E920670"/>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210E54D3"/>
    <w:multiLevelType w:val="hybridMultilevel"/>
    <w:tmpl w:val="277C02CC"/>
    <w:lvl w:ilvl="0" w:tplc="6F628106">
      <w:start w:val="1"/>
      <w:numFmt w:val="lowerLetter"/>
      <w:lvlText w:val="%1)"/>
      <w:lvlJc w:val="left"/>
      <w:pPr>
        <w:ind w:left="1068" w:hanging="360"/>
      </w:pPr>
      <w:rPr>
        <w:rFonts w:hint="default"/>
        <w:b w:val="0"/>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22BD68A1"/>
    <w:multiLevelType w:val="hybridMultilevel"/>
    <w:tmpl w:val="474816D2"/>
    <w:lvl w:ilvl="0" w:tplc="6F628106">
      <w:start w:val="1"/>
      <w:numFmt w:val="lowerLetter"/>
      <w:lvlText w:val="%1)"/>
      <w:lvlJc w:val="left"/>
      <w:pPr>
        <w:ind w:left="1068" w:hanging="360"/>
      </w:pPr>
      <w:rPr>
        <w:rFonts w:hint="default"/>
        <w:b w:val="0"/>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23BB7B94"/>
    <w:multiLevelType w:val="hybridMultilevel"/>
    <w:tmpl w:val="BFFEFCBC"/>
    <w:lvl w:ilvl="0" w:tplc="6F628106">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9D42F6"/>
    <w:multiLevelType w:val="hybridMultilevel"/>
    <w:tmpl w:val="D472B70C"/>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35F77560"/>
    <w:multiLevelType w:val="hybridMultilevel"/>
    <w:tmpl w:val="3092A36A"/>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DA7775"/>
    <w:multiLevelType w:val="hybridMultilevel"/>
    <w:tmpl w:val="10FACCC2"/>
    <w:lvl w:ilvl="0" w:tplc="6F628106">
      <w:start w:val="1"/>
      <w:numFmt w:val="lowerLetter"/>
      <w:lvlText w:val="%1)"/>
      <w:lvlJc w:val="left"/>
      <w:pPr>
        <w:ind w:left="1004" w:hanging="360"/>
      </w:pPr>
      <w:rPr>
        <w:rFonts w:hint="default"/>
        <w:u w:val="none"/>
      </w:r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4A7D525E"/>
    <w:multiLevelType w:val="hybridMultilevel"/>
    <w:tmpl w:val="C6681B24"/>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4BCA5BAC"/>
    <w:multiLevelType w:val="hybridMultilevel"/>
    <w:tmpl w:val="7346D286"/>
    <w:lvl w:ilvl="0" w:tplc="6F8CCD82">
      <w:start w:val="1"/>
      <w:numFmt w:val="decimal"/>
      <w:lvlText w:val="%1."/>
      <w:lvlJc w:val="left"/>
      <w:pPr>
        <w:ind w:left="644"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4B1F04"/>
    <w:multiLevelType w:val="hybridMultilevel"/>
    <w:tmpl w:val="1B18C804"/>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559C7BF7"/>
    <w:multiLevelType w:val="hybridMultilevel"/>
    <w:tmpl w:val="7916D2E0"/>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F54D8C"/>
    <w:multiLevelType w:val="hybridMultilevel"/>
    <w:tmpl w:val="EBEA079A"/>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CA78FA"/>
    <w:multiLevelType w:val="hybridMultilevel"/>
    <w:tmpl w:val="E7F424E8"/>
    <w:lvl w:ilvl="0" w:tplc="6F628106">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0221A16"/>
    <w:multiLevelType w:val="hybridMultilevel"/>
    <w:tmpl w:val="41748804"/>
    <w:lvl w:ilvl="0" w:tplc="6F628106">
      <w:start w:val="1"/>
      <w:numFmt w:val="lowerLetter"/>
      <w:lvlText w:val="%1)"/>
      <w:lvlJc w:val="left"/>
      <w:pPr>
        <w:ind w:left="1068" w:hanging="360"/>
      </w:pPr>
      <w:rPr>
        <w:rFonts w:hint="default"/>
        <w:u w:val="no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7CBA4A9F"/>
    <w:multiLevelType w:val="hybridMultilevel"/>
    <w:tmpl w:val="4CDAB988"/>
    <w:lvl w:ilvl="0" w:tplc="6F628106">
      <w:start w:val="1"/>
      <w:numFmt w:val="lowerLetter"/>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14616324">
    <w:abstractNumId w:val="19"/>
  </w:num>
  <w:num w:numId="2" w16cid:durableId="244455794">
    <w:abstractNumId w:val="17"/>
  </w:num>
  <w:num w:numId="3" w16cid:durableId="1722825891">
    <w:abstractNumId w:val="17"/>
  </w:num>
  <w:num w:numId="4" w16cid:durableId="939677841">
    <w:abstractNumId w:val="8"/>
  </w:num>
  <w:num w:numId="5" w16cid:durableId="828248301">
    <w:abstractNumId w:val="11"/>
  </w:num>
  <w:num w:numId="6" w16cid:durableId="1510024506">
    <w:abstractNumId w:val="14"/>
  </w:num>
  <w:num w:numId="7" w16cid:durableId="1154644276">
    <w:abstractNumId w:val="1"/>
  </w:num>
  <w:num w:numId="8" w16cid:durableId="600383694">
    <w:abstractNumId w:val="12"/>
  </w:num>
  <w:num w:numId="9" w16cid:durableId="419061958">
    <w:abstractNumId w:val="13"/>
  </w:num>
  <w:num w:numId="10" w16cid:durableId="201865201">
    <w:abstractNumId w:val="4"/>
  </w:num>
  <w:num w:numId="11" w16cid:durableId="1615555256">
    <w:abstractNumId w:val="3"/>
  </w:num>
  <w:num w:numId="12" w16cid:durableId="1946575175">
    <w:abstractNumId w:val="21"/>
  </w:num>
  <w:num w:numId="13" w16cid:durableId="1897472506">
    <w:abstractNumId w:val="22"/>
  </w:num>
  <w:num w:numId="14" w16cid:durableId="1655454693">
    <w:abstractNumId w:val="20"/>
  </w:num>
  <w:num w:numId="15" w16cid:durableId="1562907776">
    <w:abstractNumId w:val="2"/>
  </w:num>
  <w:num w:numId="16" w16cid:durableId="65493806">
    <w:abstractNumId w:val="16"/>
  </w:num>
  <w:num w:numId="17" w16cid:durableId="427194459">
    <w:abstractNumId w:val="0"/>
  </w:num>
  <w:num w:numId="18" w16cid:durableId="837965068">
    <w:abstractNumId w:val="18"/>
  </w:num>
  <w:num w:numId="19" w16cid:durableId="1706711893">
    <w:abstractNumId w:val="5"/>
  </w:num>
  <w:num w:numId="20" w16cid:durableId="798840901">
    <w:abstractNumId w:val="6"/>
  </w:num>
  <w:num w:numId="21" w16cid:durableId="978848773">
    <w:abstractNumId w:val="7"/>
  </w:num>
  <w:num w:numId="22" w16cid:durableId="435906529">
    <w:abstractNumId w:val="9"/>
  </w:num>
  <w:num w:numId="23" w16cid:durableId="910849068">
    <w:abstractNumId w:val="10"/>
  </w:num>
  <w:num w:numId="24" w16cid:durableId="3085613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EE"/>
    <w:rsid w:val="0017340A"/>
    <w:rsid w:val="001F578F"/>
    <w:rsid w:val="003C5056"/>
    <w:rsid w:val="00404812"/>
    <w:rsid w:val="004E23CD"/>
    <w:rsid w:val="005946EE"/>
    <w:rsid w:val="00886BAA"/>
    <w:rsid w:val="009A74E1"/>
    <w:rsid w:val="00AF3A6E"/>
    <w:rsid w:val="00B34EC7"/>
    <w:rsid w:val="00BB48D1"/>
    <w:rsid w:val="00C32AF7"/>
    <w:rsid w:val="00C66091"/>
    <w:rsid w:val="00D439EA"/>
    <w:rsid w:val="00DF2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BE8D"/>
  <w15:chartTrackingRefBased/>
  <w15:docId w15:val="{099C0B22-6E40-43B0-90CA-042E0708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l-PL" w:eastAsia="en-US" w:bidi="ar-SA"/>
        <w14:ligatures w14:val="standardContextual"/>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94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94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946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946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5946EE"/>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5946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5946EE"/>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5946EE"/>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946EE"/>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ind w:left="0"/>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rPr>
      <w:sz w:val="20"/>
      <w:szCs w:val="20"/>
    </w:r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right="0"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right="0"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5946E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946E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946EE"/>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946EE"/>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5946EE"/>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5946EE"/>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5946EE"/>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5946EE"/>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5946EE"/>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5946E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946E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946EE"/>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946EE"/>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5946EE"/>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946EE"/>
    <w:rPr>
      <w:i/>
      <w:iCs/>
      <w:color w:val="404040" w:themeColor="text1" w:themeTint="BF"/>
    </w:rPr>
  </w:style>
  <w:style w:type="paragraph" w:styleId="Akapitzlist">
    <w:name w:val="List Paragraph"/>
    <w:basedOn w:val="Normalny"/>
    <w:uiPriority w:val="34"/>
    <w:qFormat/>
    <w:rsid w:val="005946EE"/>
    <w:pPr>
      <w:ind w:left="720"/>
      <w:contextualSpacing/>
    </w:pPr>
  </w:style>
  <w:style w:type="character" w:styleId="Wyrnienieintensywne">
    <w:name w:val="Intense Emphasis"/>
    <w:basedOn w:val="Domylnaczcionkaakapitu"/>
    <w:uiPriority w:val="21"/>
    <w:qFormat/>
    <w:rsid w:val="005946EE"/>
    <w:rPr>
      <w:i/>
      <w:iCs/>
      <w:color w:val="0F4761" w:themeColor="accent1" w:themeShade="BF"/>
    </w:rPr>
  </w:style>
  <w:style w:type="paragraph" w:styleId="Cytatintensywny">
    <w:name w:val="Intense Quote"/>
    <w:basedOn w:val="Normalny"/>
    <w:next w:val="Normalny"/>
    <w:link w:val="CytatintensywnyZnak"/>
    <w:uiPriority w:val="30"/>
    <w:qFormat/>
    <w:rsid w:val="00594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946EE"/>
    <w:rPr>
      <w:i/>
      <w:iCs/>
      <w:color w:val="0F4761" w:themeColor="accent1" w:themeShade="BF"/>
    </w:rPr>
  </w:style>
  <w:style w:type="character" w:styleId="Odwoanieintensywne">
    <w:name w:val="Intense Reference"/>
    <w:basedOn w:val="Domylnaczcionkaakapitu"/>
    <w:uiPriority w:val="32"/>
    <w:qFormat/>
    <w:rsid w:val="005946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1041</Words>
  <Characters>6246</Characters>
  <Application>Microsoft Office Word</Application>
  <DocSecurity>0</DocSecurity>
  <Lines>52</Lines>
  <Paragraphs>14</Paragraphs>
  <ScaleCrop>false</ScaleCrop>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1</cp:revision>
  <dcterms:created xsi:type="dcterms:W3CDTF">2026-07-22T14:34:00Z</dcterms:created>
  <dcterms:modified xsi:type="dcterms:W3CDTF">2026-07-22T14:36:00Z</dcterms:modified>
</cp:coreProperties>
</file>