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41E5" w14:textId="77777777" w:rsidR="00F575DB" w:rsidRDefault="00F575DB" w:rsidP="00F575DB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F575DB">
        <w:rPr>
          <w:rFonts w:eastAsia="Calibri" w:cs="Times New Roman"/>
          <w:b/>
          <w:kern w:val="0"/>
          <w:u w:val="single"/>
          <w14:ligatures w14:val="none"/>
        </w:rPr>
        <w:t>Pytania z zakresu prawa cywilnego oraz postępowania cywilnego</w:t>
      </w:r>
    </w:p>
    <w:p w14:paraId="073EFAF1" w14:textId="77777777" w:rsidR="00B50897" w:rsidRPr="00F575DB" w:rsidRDefault="00B50897" w:rsidP="00F575DB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</w:p>
    <w:p w14:paraId="4EAADA2A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  <w:kern w:val="0"/>
          <w14:ligatures w14:val="none"/>
        </w:rPr>
        <w:t>Zgodnie z Kodeksem cywilnym małoletnia osoba fizyczna, która ukończyła lat 13 oraz osoba ubezwłasnowolniona częściowo posiada:</w:t>
      </w:r>
    </w:p>
    <w:p w14:paraId="0B804D5C" w14:textId="77777777" w:rsidR="00F575DB" w:rsidRPr="00F575DB" w:rsidRDefault="00F575DB" w:rsidP="00F575DB">
      <w:pPr>
        <w:numPr>
          <w:ilvl w:val="0"/>
          <w:numId w:val="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częściową zdolność do czynności prawnych,</w:t>
      </w:r>
    </w:p>
    <w:p w14:paraId="54247C91" w14:textId="77777777" w:rsidR="00F575DB" w:rsidRPr="00F575DB" w:rsidRDefault="00F575DB" w:rsidP="00F575DB">
      <w:pPr>
        <w:numPr>
          <w:ilvl w:val="0"/>
          <w:numId w:val="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niepełną zdolność do czynności prawnych,</w:t>
      </w:r>
    </w:p>
    <w:p w14:paraId="16CB9EB8" w14:textId="77777777" w:rsidR="00F575DB" w:rsidRPr="00F575DB" w:rsidRDefault="00F575DB" w:rsidP="00F575DB">
      <w:pPr>
        <w:numPr>
          <w:ilvl w:val="0"/>
          <w:numId w:val="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ograniczoną zdolność do czynności prawnych.</w:t>
      </w:r>
    </w:p>
    <w:p w14:paraId="1C94BCBB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1191B24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  <w:kern w:val="0"/>
          <w14:ligatures w14:val="none"/>
        </w:rPr>
        <w:t>Zgodnie z Kodeksem cywilnym jeżeli ustawa uzależnia skutki prawne od dobrej lub złej wiary:</w:t>
      </w:r>
    </w:p>
    <w:p w14:paraId="0B32F951" w14:textId="77777777" w:rsidR="00F575DB" w:rsidRPr="00F575DB" w:rsidRDefault="00F575DB" w:rsidP="00F575DB">
      <w:pPr>
        <w:numPr>
          <w:ilvl w:val="0"/>
          <w:numId w:val="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domniemywa się istnienie dobrej wiary,</w:t>
      </w:r>
    </w:p>
    <w:p w14:paraId="3D93459C" w14:textId="77777777" w:rsidR="00F575DB" w:rsidRPr="00F575DB" w:rsidRDefault="00F575DB" w:rsidP="00F575DB">
      <w:pPr>
        <w:numPr>
          <w:ilvl w:val="0"/>
          <w:numId w:val="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domniemywa się istnienie złej wiary,</w:t>
      </w:r>
    </w:p>
    <w:p w14:paraId="55E23974" w14:textId="77777777" w:rsidR="00F575DB" w:rsidRPr="00F575DB" w:rsidRDefault="00F575DB" w:rsidP="00F575DB">
      <w:pPr>
        <w:numPr>
          <w:ilvl w:val="0"/>
          <w:numId w:val="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rozstrzygające znaczenie będzie miał wynik prowadzonego z urzędu postępowania dowodowego.</w:t>
      </w:r>
    </w:p>
    <w:p w14:paraId="62C2F16D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BB4DE14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  <w:kern w:val="0"/>
          <w14:ligatures w14:val="none"/>
        </w:rPr>
        <w:t>Zgodnie z Kodeksem cywilnym jeżeli świadczenie zostało spełnione w celu zadośćuczynienia przedawnionemu roszczeniu:</w:t>
      </w:r>
    </w:p>
    <w:p w14:paraId="14B88C4C" w14:textId="77777777" w:rsidR="00F575DB" w:rsidRPr="00F575DB" w:rsidRDefault="00F575DB" w:rsidP="00F575DB">
      <w:pPr>
        <w:numPr>
          <w:ilvl w:val="0"/>
          <w:numId w:val="9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można żądać zwrotu świadczenia,</w:t>
      </w:r>
    </w:p>
    <w:p w14:paraId="06EAE9CC" w14:textId="77777777" w:rsidR="00F575DB" w:rsidRPr="00F575DB" w:rsidRDefault="00F575DB" w:rsidP="00F575DB">
      <w:pPr>
        <w:numPr>
          <w:ilvl w:val="0"/>
          <w:numId w:val="9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można żądać zwrotu świadczenia, jeżeli nie upłynął okres trzech lat,</w:t>
      </w:r>
    </w:p>
    <w:p w14:paraId="7D17F4B2" w14:textId="77777777" w:rsidR="00F575DB" w:rsidRPr="00F575DB" w:rsidRDefault="00F575DB" w:rsidP="00F575DB">
      <w:pPr>
        <w:numPr>
          <w:ilvl w:val="0"/>
          <w:numId w:val="9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nie można żądać zwrotu świadczenia.</w:t>
      </w:r>
    </w:p>
    <w:p w14:paraId="1B135CB5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0D851F6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/>
          <w:kern w:val="0"/>
          <w14:ligatures w14:val="none"/>
        </w:rPr>
        <w:t xml:space="preserve">Zgodnie z Kodeksem cywilnym </w:t>
      </w:r>
      <w:r w:rsidRPr="00F575DB">
        <w:rPr>
          <w:rFonts w:eastAsia="Calibri" w:cs="Times New Roman"/>
          <w:b/>
        </w:rPr>
        <w:t>jeżeli świadczenie zostało spełnione do rąk osoby nieuprawnionej do jego przyjęcia, a przyjęcie świadczenia nie zostało potwierdzone przez wierzyciela</w:t>
      </w:r>
      <w:r w:rsidRPr="00F575DB">
        <w:rPr>
          <w:rFonts w:eastAsia="Calibri" w:cs="Times New Roman"/>
          <w:bCs/>
        </w:rPr>
        <w:t>:</w:t>
      </w:r>
    </w:p>
    <w:p w14:paraId="15CD2BC7" w14:textId="77777777" w:rsidR="00F575DB" w:rsidRPr="00F575DB" w:rsidRDefault="00F575DB" w:rsidP="00F575DB">
      <w:pPr>
        <w:numPr>
          <w:ilvl w:val="0"/>
          <w:numId w:val="1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dłużnik nie jest zwolniony z zobowiązania w jakimkolwiek zakresie, nawet jeżeli wierzyciel ze świadczenia skorzystał,</w:t>
      </w:r>
    </w:p>
    <w:p w14:paraId="7B1529DC" w14:textId="77777777" w:rsidR="00F575DB" w:rsidRPr="00F575DB" w:rsidRDefault="00F575DB" w:rsidP="00F575DB">
      <w:pPr>
        <w:numPr>
          <w:ilvl w:val="0"/>
          <w:numId w:val="1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dłużnik jest zwolniony z zobowiązania w pełnym zakresie, chyba że wiedział, iż spełnia świadczenie do rąk osoby nieuprawnionej,</w:t>
      </w:r>
    </w:p>
    <w:p w14:paraId="75F3E271" w14:textId="77777777" w:rsidR="00F575DB" w:rsidRPr="00F575DB" w:rsidRDefault="00F575DB" w:rsidP="00F575DB">
      <w:pPr>
        <w:numPr>
          <w:ilvl w:val="0"/>
          <w:numId w:val="1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dłużnik jest zwolniony z zobowiązania w takim zakresie, w jakim wierzyciel ze świadczenia skorzystał.</w:t>
      </w:r>
    </w:p>
    <w:p w14:paraId="2842FD44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CFAE90E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</w:rPr>
      </w:pPr>
      <w:r w:rsidRPr="00F575DB">
        <w:rPr>
          <w:rFonts w:eastAsia="Calibri" w:cs="Times New Roman"/>
          <w:b/>
          <w:kern w:val="0"/>
          <w14:ligatures w14:val="none"/>
        </w:rPr>
        <w:t xml:space="preserve">Zgodnie z Kodeksem cywilnym </w:t>
      </w:r>
      <w:r w:rsidRPr="00F575DB">
        <w:rPr>
          <w:rFonts w:eastAsia="Calibri" w:cs="Times New Roman"/>
          <w:b/>
        </w:rPr>
        <w:t xml:space="preserve">testamentem zwykłym nie jest: </w:t>
      </w:r>
    </w:p>
    <w:p w14:paraId="30CB7F46" w14:textId="77777777" w:rsidR="00F575DB" w:rsidRPr="00F575DB" w:rsidRDefault="00F575DB" w:rsidP="00F575DB">
      <w:pPr>
        <w:numPr>
          <w:ilvl w:val="0"/>
          <w:numId w:val="1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 xml:space="preserve">testament ustny, </w:t>
      </w:r>
    </w:p>
    <w:p w14:paraId="09DE7B52" w14:textId="77777777" w:rsidR="00F575DB" w:rsidRPr="00F575DB" w:rsidRDefault="00F575DB" w:rsidP="00F575DB">
      <w:pPr>
        <w:numPr>
          <w:ilvl w:val="0"/>
          <w:numId w:val="1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testament notarialny,</w:t>
      </w:r>
    </w:p>
    <w:p w14:paraId="372DB8EE" w14:textId="77777777" w:rsidR="00F575DB" w:rsidRPr="00F575DB" w:rsidRDefault="00F575DB" w:rsidP="00F575DB">
      <w:pPr>
        <w:numPr>
          <w:ilvl w:val="0"/>
          <w:numId w:val="1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lastRenderedPageBreak/>
        <w:t xml:space="preserve">testament </w:t>
      </w:r>
      <w:proofErr w:type="spellStart"/>
      <w:r w:rsidRPr="00F575DB">
        <w:rPr>
          <w:rFonts w:eastAsia="Calibri" w:cs="Times New Roman"/>
          <w:bCs/>
        </w:rPr>
        <w:t>allograficzny</w:t>
      </w:r>
      <w:proofErr w:type="spellEnd"/>
      <w:r w:rsidRPr="00F575DB">
        <w:rPr>
          <w:rFonts w:eastAsia="Calibri" w:cs="Times New Roman"/>
          <w:bCs/>
        </w:rPr>
        <w:t>.</w:t>
      </w:r>
    </w:p>
    <w:p w14:paraId="701C4884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</w:rPr>
      </w:pPr>
      <w:r w:rsidRPr="00F575DB">
        <w:rPr>
          <w:rFonts w:eastAsia="Calibri" w:cs="Times New Roman"/>
          <w:b/>
        </w:rPr>
        <w:t>Zgodnie z Kodeksem cywilnym umowa o roboty budowlane:</w:t>
      </w:r>
    </w:p>
    <w:p w14:paraId="0816E9CA" w14:textId="77777777" w:rsidR="00F575DB" w:rsidRPr="00F575DB" w:rsidRDefault="00F575DB" w:rsidP="00F575DB">
      <w:pPr>
        <w:numPr>
          <w:ilvl w:val="0"/>
          <w:numId w:val="1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powinna być zawarta w formie pisemnej,</w:t>
      </w:r>
    </w:p>
    <w:p w14:paraId="7213AB58" w14:textId="77777777" w:rsidR="00F575DB" w:rsidRPr="00F575DB" w:rsidRDefault="00F575DB" w:rsidP="00F575DB">
      <w:pPr>
        <w:numPr>
          <w:ilvl w:val="0"/>
          <w:numId w:val="1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powinna zawarta w formie dokumentowej,</w:t>
      </w:r>
    </w:p>
    <w:p w14:paraId="77A13B50" w14:textId="77777777" w:rsidR="00F575DB" w:rsidRPr="00F575DB" w:rsidRDefault="00F575DB" w:rsidP="00F575DB">
      <w:pPr>
        <w:numPr>
          <w:ilvl w:val="0"/>
          <w:numId w:val="1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powinna być stwierdzona pismem.</w:t>
      </w:r>
    </w:p>
    <w:p w14:paraId="7F6D5F13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:shd w:val="clear" w:color="auto" w:fill="FFFFFF"/>
          <w14:ligatures w14:val="none"/>
        </w:rPr>
      </w:pPr>
    </w:p>
    <w:p w14:paraId="21E55537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426" w:right="0" w:hanging="142"/>
        <w:contextualSpacing/>
        <w:jc w:val="left"/>
        <w:rPr>
          <w:rFonts w:eastAsia="Calibri" w:cs="Times New Roman"/>
          <w:b/>
          <w:color w:val="000000"/>
          <w:kern w:val="0"/>
          <w14:ligatures w14:val="none"/>
        </w:rPr>
      </w:pPr>
      <w:r w:rsidRPr="00F575DB">
        <w:rPr>
          <w:rFonts w:eastAsia="Calibri" w:cs="Times New Roman"/>
          <w:b/>
        </w:rPr>
        <w:t xml:space="preserve">Zgodnie z Kodeksem cywilnym </w:t>
      </w:r>
      <w:r w:rsidRPr="00F575DB">
        <w:rPr>
          <w:rFonts w:eastAsia="Calibri" w:cs="Times New Roman"/>
          <w:b/>
          <w:color w:val="000000"/>
          <w:kern w:val="0"/>
          <w14:ligatures w14:val="none"/>
        </w:rPr>
        <w:t>maksymalna wysokość odsetek za opóźnienie nie może w stosunku rocznym przekraczać:</w:t>
      </w:r>
    </w:p>
    <w:p w14:paraId="7602D573" w14:textId="77777777" w:rsidR="00F575DB" w:rsidRPr="00F575DB" w:rsidRDefault="00F575DB" w:rsidP="00F575DB">
      <w:pPr>
        <w:numPr>
          <w:ilvl w:val="2"/>
          <w:numId w:val="1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dwukrotności wysokości odsetek ustawowych za opóźnienie,</w:t>
      </w:r>
    </w:p>
    <w:p w14:paraId="65C39F00" w14:textId="77777777" w:rsidR="00F575DB" w:rsidRPr="00F575DB" w:rsidRDefault="00F575DB" w:rsidP="00F575DB">
      <w:pPr>
        <w:numPr>
          <w:ilvl w:val="2"/>
          <w:numId w:val="1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dwukrotności wysokości stopy kredytu lombardowego Narodowego Banku Polskiego,</w:t>
      </w:r>
    </w:p>
    <w:p w14:paraId="1CB7B784" w14:textId="77777777" w:rsidR="00F575DB" w:rsidRPr="00F575DB" w:rsidRDefault="00F575DB" w:rsidP="00F575DB">
      <w:pPr>
        <w:numPr>
          <w:ilvl w:val="2"/>
          <w:numId w:val="1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dwukrotności wysokości odsetek za opóźnienie w transakcjach handlowych.</w:t>
      </w:r>
    </w:p>
    <w:p w14:paraId="4F0807BD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14:ligatures w14:val="none"/>
        </w:rPr>
      </w:pPr>
    </w:p>
    <w:p w14:paraId="021DADC3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</w:rPr>
      </w:pPr>
      <w:r w:rsidRPr="00F575DB">
        <w:rPr>
          <w:rFonts w:eastAsia="Calibri" w:cs="Times New Roman"/>
          <w:b/>
        </w:rPr>
        <w:t>Zgodnie z Kodeksem cywilnym jeżeli osoba ograniczona w zdolności do czynności prawnych dokonała sama jednostronnej czynności prawnej, do której ustawa wymaga zgody przedstawiciela ustawowego, czynność ta jest:</w:t>
      </w:r>
    </w:p>
    <w:p w14:paraId="479FCBFC" w14:textId="77777777" w:rsidR="00F575DB" w:rsidRPr="00F575DB" w:rsidRDefault="00F575DB" w:rsidP="00F575DB">
      <w:pPr>
        <w:numPr>
          <w:ilvl w:val="0"/>
          <w:numId w:val="1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nieważna,</w:t>
      </w:r>
    </w:p>
    <w:p w14:paraId="58615A97" w14:textId="77777777" w:rsidR="00F575DB" w:rsidRPr="00F575DB" w:rsidRDefault="00F575DB" w:rsidP="00F575DB">
      <w:pPr>
        <w:numPr>
          <w:ilvl w:val="0"/>
          <w:numId w:val="1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ważna, pod warunkiem, że zostanie potwierdzona przez przedstawiciela ustawowego,</w:t>
      </w:r>
    </w:p>
    <w:p w14:paraId="29DD2DBF" w14:textId="77777777" w:rsidR="00F575DB" w:rsidRPr="00F575DB" w:rsidRDefault="00F575DB" w:rsidP="00F575DB">
      <w:pPr>
        <w:numPr>
          <w:ilvl w:val="0"/>
          <w:numId w:val="1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ważna.</w:t>
      </w:r>
    </w:p>
    <w:p w14:paraId="2530B887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923D91A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</w:rPr>
      </w:pPr>
      <w:r w:rsidRPr="00F575DB">
        <w:rPr>
          <w:rFonts w:eastAsia="Calibri" w:cs="Times New Roman"/>
          <w:b/>
        </w:rPr>
        <w:t>Zgodnie z Kodeksem cywilnym jeżeli koniec terminu do wykonania czynności przypada na sobotę, termin upływa:</w:t>
      </w:r>
    </w:p>
    <w:p w14:paraId="4F4C8DEA" w14:textId="77777777" w:rsidR="00F575DB" w:rsidRPr="00F575DB" w:rsidRDefault="00F575DB" w:rsidP="00F575DB">
      <w:pPr>
        <w:numPr>
          <w:ilvl w:val="0"/>
          <w:numId w:val="19"/>
        </w:numPr>
        <w:spacing w:after="0" w:line="360" w:lineRule="auto"/>
        <w:ind w:left="1299" w:right="0" w:hanging="448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 xml:space="preserve">tego dnia, </w:t>
      </w:r>
    </w:p>
    <w:p w14:paraId="46ED312F" w14:textId="77777777" w:rsidR="00F575DB" w:rsidRPr="00F575DB" w:rsidRDefault="00F575DB" w:rsidP="00F575DB">
      <w:pPr>
        <w:numPr>
          <w:ilvl w:val="0"/>
          <w:numId w:val="19"/>
        </w:numPr>
        <w:spacing w:after="0" w:line="360" w:lineRule="auto"/>
        <w:ind w:left="1299" w:right="0" w:hanging="448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następnego dnia, który nie jest dniem wolnym od pracy ani sobotą,</w:t>
      </w:r>
    </w:p>
    <w:p w14:paraId="1484B67D" w14:textId="77777777" w:rsidR="00F575DB" w:rsidRPr="00F575DB" w:rsidRDefault="00F575DB" w:rsidP="00F575DB">
      <w:pPr>
        <w:numPr>
          <w:ilvl w:val="0"/>
          <w:numId w:val="19"/>
        </w:numPr>
        <w:spacing w:after="0" w:line="360" w:lineRule="auto"/>
        <w:ind w:left="1299" w:right="0" w:hanging="448"/>
        <w:contextualSpacing/>
        <w:jc w:val="left"/>
        <w:rPr>
          <w:rFonts w:eastAsia="Calibri" w:cs="Times New Roman"/>
          <w:bCs/>
        </w:rPr>
      </w:pPr>
      <w:r w:rsidRPr="00F575DB">
        <w:rPr>
          <w:rFonts w:eastAsia="Calibri" w:cs="Times New Roman"/>
          <w:bCs/>
        </w:rPr>
        <w:t>w dniu poprzedzającym.</w:t>
      </w:r>
    </w:p>
    <w:p w14:paraId="425987CA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7FBB3AED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</w:rPr>
        <w:t xml:space="preserve">Zgodnie z Kodeksem postępowania cywilnego </w:t>
      </w:r>
      <w:r w:rsidRPr="00F575DB">
        <w:rPr>
          <w:rFonts w:eastAsia="Calibri" w:cs="Times New Roman"/>
          <w:b/>
          <w:kern w:val="0"/>
          <w14:ligatures w14:val="none"/>
        </w:rPr>
        <w:t>skargę na czynności komornika sądowego wnosi się do:</w:t>
      </w:r>
    </w:p>
    <w:p w14:paraId="4CD0A18A" w14:textId="77777777" w:rsidR="00F575DB" w:rsidRPr="00F575DB" w:rsidRDefault="00F575DB" w:rsidP="00F575DB">
      <w:pPr>
        <w:numPr>
          <w:ilvl w:val="1"/>
          <w:numId w:val="1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sądu właściwego ze względu na siedzibę kancelarii komornika,</w:t>
      </w:r>
    </w:p>
    <w:p w14:paraId="7AD20651" w14:textId="77777777" w:rsidR="00F575DB" w:rsidRPr="00F575DB" w:rsidRDefault="00F575DB" w:rsidP="00F575DB">
      <w:pPr>
        <w:numPr>
          <w:ilvl w:val="1"/>
          <w:numId w:val="1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sądu, w którego okręgu skarżący ma miejsce zamieszkania,</w:t>
      </w:r>
    </w:p>
    <w:p w14:paraId="664953CD" w14:textId="77777777" w:rsidR="00F575DB" w:rsidRPr="00F575DB" w:rsidRDefault="00F575DB" w:rsidP="00F575DB">
      <w:pPr>
        <w:numPr>
          <w:ilvl w:val="1"/>
          <w:numId w:val="1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komornika, który dokonał zaskarżonej czynności lub zaniechał jej dokonania.</w:t>
      </w:r>
    </w:p>
    <w:p w14:paraId="2620BB69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0C2801D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426" w:right="0" w:hanging="142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</w:rPr>
        <w:t xml:space="preserve">Zgodnie z Kodeksem postępowania cywilnego </w:t>
      </w:r>
      <w:r w:rsidRPr="00F575DB">
        <w:rPr>
          <w:rFonts w:eastAsia="Calibri" w:cs="Times New Roman"/>
          <w:b/>
          <w:kern w:val="0"/>
          <w14:ligatures w14:val="none"/>
        </w:rPr>
        <w:t>nie wymagają dowodu:</w:t>
      </w:r>
    </w:p>
    <w:p w14:paraId="50B9B1A0" w14:textId="77777777" w:rsidR="00F575DB" w:rsidRPr="00F575DB" w:rsidRDefault="00F575DB" w:rsidP="00F575DB">
      <w:pPr>
        <w:numPr>
          <w:ilvl w:val="1"/>
          <w:numId w:val="1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lastRenderedPageBreak/>
        <w:t>fakty przyznane w toku postępowania przez stronę przeciwną, jeżeli przyznanie nie budzi wątpliwości,</w:t>
      </w:r>
    </w:p>
    <w:p w14:paraId="7EE01FD6" w14:textId="77777777" w:rsidR="00F575DB" w:rsidRPr="00F575DB" w:rsidRDefault="00F575DB" w:rsidP="00F575DB">
      <w:pPr>
        <w:numPr>
          <w:ilvl w:val="1"/>
          <w:numId w:val="1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fakty, co do których Sąd orzekł o ich uznaniu za prawdziwe,</w:t>
      </w:r>
    </w:p>
    <w:p w14:paraId="77325757" w14:textId="77777777" w:rsidR="00F575DB" w:rsidRPr="00F575DB" w:rsidRDefault="00F575DB" w:rsidP="00F575DB">
      <w:pPr>
        <w:numPr>
          <w:ilvl w:val="1"/>
          <w:numId w:val="1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fakty przedstawione przez reprezentanta Skarbu Państwa.</w:t>
      </w:r>
    </w:p>
    <w:p w14:paraId="614D9585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86E0553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567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  <w:kern w:val="0"/>
          <w14:ligatures w14:val="none"/>
        </w:rPr>
        <w:t xml:space="preserve">Zgodnie z Kodeksem postępowania cywilnego w nakazie zapłaty Sąd nakazuje pozwanemu, aby w terminie oznaczonym w nakazie zaspokoił roszczenie w całości wraz z kosztami albo wniósł środek zaskarżenia. Termin na wniesienie środka zaskarżenia wynosi: </w:t>
      </w:r>
    </w:p>
    <w:p w14:paraId="2FCF4494" w14:textId="77777777" w:rsidR="00F575DB" w:rsidRPr="00F575DB" w:rsidRDefault="00F575DB" w:rsidP="00F575DB">
      <w:pPr>
        <w:numPr>
          <w:ilvl w:val="0"/>
          <w:numId w:val="15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Times New Roman" w:cs="Times New Roman"/>
          <w:bCs/>
          <w:kern w:val="0"/>
          <w:lang w:eastAsia="pl-PL"/>
          <w14:ligatures w14:val="none"/>
        </w:rPr>
        <w:t>miesiąc od dnia doręczenia nakazu w przypadku nakazu zapłaty wydanego w postępowaniu upominawczym, gdy doręczenie nakazu pozwanemu ma mieć miejsce w kraju,</w:t>
      </w:r>
    </w:p>
    <w:p w14:paraId="3D86AC52" w14:textId="77777777" w:rsidR="00F575DB" w:rsidRPr="00F575DB" w:rsidRDefault="00F575DB" w:rsidP="00F575DB">
      <w:pPr>
        <w:numPr>
          <w:ilvl w:val="0"/>
          <w:numId w:val="15"/>
        </w:numPr>
        <w:spacing w:after="0" w:line="360" w:lineRule="auto"/>
        <w:ind w:left="1208" w:right="0" w:hanging="357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F575DB">
        <w:rPr>
          <w:rFonts w:eastAsia="Times New Roman" w:cs="Times New Roman"/>
          <w:bCs/>
          <w:kern w:val="0"/>
          <w:lang w:eastAsia="pl-PL"/>
          <w14:ligatures w14:val="none"/>
        </w:rPr>
        <w:t>miesiąc od dnia doręczenia nakazu w przypadku nakazu zapłaty wydanego w postępowaniu upominawczym, gdy doręczenie nakazu pozwanemu ma mieć miejsce poza granicami kraju na terytorium Unii Europejskiej,</w:t>
      </w:r>
    </w:p>
    <w:p w14:paraId="728D955C" w14:textId="77777777" w:rsidR="00F575DB" w:rsidRPr="00F575DB" w:rsidRDefault="00F575DB" w:rsidP="00F575DB">
      <w:pPr>
        <w:numPr>
          <w:ilvl w:val="0"/>
          <w:numId w:val="15"/>
        </w:numPr>
        <w:spacing w:after="0" w:line="360" w:lineRule="auto"/>
        <w:ind w:left="1208" w:right="0" w:hanging="357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F575DB">
        <w:rPr>
          <w:rFonts w:eastAsia="Times New Roman" w:cs="Times New Roman"/>
          <w:bCs/>
          <w:kern w:val="0"/>
          <w:lang w:eastAsia="pl-PL"/>
          <w14:ligatures w14:val="none"/>
        </w:rPr>
        <w:t>miesiąc od dnia doręczenia nakazu, gdy doręczenie nakazu pozwanemu ma mieć miejsce poza terytorium Unii Europejskiej.</w:t>
      </w:r>
    </w:p>
    <w:p w14:paraId="3CA7E6E1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0511457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426" w:right="0" w:hanging="142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  <w:kern w:val="0"/>
          <w14:ligatures w14:val="none"/>
        </w:rPr>
        <w:t>Zgodnie z Kodeksem postępowania cywilnego interwencja uboczna może być zgłoszona:</w:t>
      </w:r>
    </w:p>
    <w:p w14:paraId="118615D7" w14:textId="77777777" w:rsidR="00F575DB" w:rsidRPr="00F575DB" w:rsidRDefault="00F575DB" w:rsidP="00F575DB">
      <w:pPr>
        <w:numPr>
          <w:ilvl w:val="2"/>
          <w:numId w:val="16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najpóźniej w pierwszym piśmie procesowym,</w:t>
      </w:r>
    </w:p>
    <w:p w14:paraId="6000907A" w14:textId="77777777" w:rsidR="00F575DB" w:rsidRPr="00F575DB" w:rsidRDefault="00F575DB" w:rsidP="00F575DB">
      <w:pPr>
        <w:numPr>
          <w:ilvl w:val="2"/>
          <w:numId w:val="16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najpóźniej wraz ze złożeniem apelacji,</w:t>
      </w:r>
    </w:p>
    <w:p w14:paraId="10B37B14" w14:textId="77777777" w:rsidR="00F575DB" w:rsidRPr="00F575DB" w:rsidRDefault="00F575DB" w:rsidP="00F575DB">
      <w:pPr>
        <w:numPr>
          <w:ilvl w:val="2"/>
          <w:numId w:val="16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najpóźniej do zamknięcia rozprawy w drugiej instancji.</w:t>
      </w:r>
    </w:p>
    <w:p w14:paraId="5085712D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2A53AD0E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426" w:right="0" w:hanging="142"/>
        <w:contextualSpacing/>
        <w:jc w:val="left"/>
        <w:rPr>
          <w:rFonts w:eastAsia="Calibri" w:cs="Times New Roman"/>
          <w:b/>
          <w:color w:val="000000"/>
          <w:kern w:val="0"/>
          <w14:ligatures w14:val="none"/>
        </w:rPr>
      </w:pPr>
      <w:r w:rsidRPr="00F575DB">
        <w:rPr>
          <w:rFonts w:eastAsia="Calibri" w:cs="Times New Roman"/>
          <w:b/>
          <w:color w:val="000000"/>
          <w:kern w:val="0"/>
          <w14:ligatures w14:val="none"/>
        </w:rPr>
        <w:t>Zgodnie z Kodeksem postępowania cywilnego termin na uzupełnienie braków formalnych pisma procesowego obejmującego pozew w przypadku powoda mieszkającego na terytorium RP wynosi:</w:t>
      </w:r>
    </w:p>
    <w:p w14:paraId="6722C687" w14:textId="77777777" w:rsidR="00F575DB" w:rsidRPr="00F575DB" w:rsidRDefault="00F575DB" w:rsidP="00F575DB">
      <w:pPr>
        <w:numPr>
          <w:ilvl w:val="2"/>
          <w:numId w:val="2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tydzień,</w:t>
      </w:r>
    </w:p>
    <w:p w14:paraId="3C271E15" w14:textId="77777777" w:rsidR="00F575DB" w:rsidRPr="00F575DB" w:rsidRDefault="00F575DB" w:rsidP="00F575DB">
      <w:pPr>
        <w:numPr>
          <w:ilvl w:val="2"/>
          <w:numId w:val="2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 xml:space="preserve">dwa tygodnie, </w:t>
      </w:r>
    </w:p>
    <w:p w14:paraId="43B9DAD4" w14:textId="77777777" w:rsidR="00F575DB" w:rsidRPr="00F575DB" w:rsidRDefault="00F575DB" w:rsidP="00F575DB">
      <w:pPr>
        <w:numPr>
          <w:ilvl w:val="2"/>
          <w:numId w:val="2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miesiąc.</w:t>
      </w:r>
    </w:p>
    <w:p w14:paraId="4C0CD0A1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22AC939F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567" w:right="0" w:hanging="283"/>
        <w:contextualSpacing/>
        <w:jc w:val="left"/>
        <w:rPr>
          <w:rFonts w:eastAsia="Calibri" w:cs="Times New Roman"/>
          <w:b/>
          <w:color w:val="000000"/>
          <w:kern w:val="0"/>
          <w14:ligatures w14:val="none"/>
        </w:rPr>
      </w:pPr>
      <w:r w:rsidRPr="00F575DB">
        <w:rPr>
          <w:rFonts w:eastAsia="Calibri" w:cs="Times New Roman"/>
          <w:b/>
          <w:color w:val="000000"/>
          <w:kern w:val="0"/>
          <w14:ligatures w14:val="none"/>
        </w:rPr>
        <w:t>Zgodnie z Kodeksem postępowania cywilnego termin na złożenie wniosku o uzasadnienie wyroku wynosi:</w:t>
      </w:r>
    </w:p>
    <w:p w14:paraId="51A7FA26" w14:textId="77777777" w:rsidR="00F575DB" w:rsidRPr="00F575DB" w:rsidRDefault="00F575DB" w:rsidP="00F575DB">
      <w:pPr>
        <w:numPr>
          <w:ilvl w:val="0"/>
          <w:numId w:val="2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lastRenderedPageBreak/>
        <w:t>7 dni w przypadku gdy strona jest reprezentowana przez profesjonalnego pełnomocnika, a 14 dni w przypadku gdy strona występuje samodzielnie,</w:t>
      </w:r>
    </w:p>
    <w:p w14:paraId="34347745" w14:textId="77777777" w:rsidR="00F575DB" w:rsidRPr="00F575DB" w:rsidRDefault="00F575DB" w:rsidP="00F575DB">
      <w:pPr>
        <w:numPr>
          <w:ilvl w:val="0"/>
          <w:numId w:val="2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14 dni zarówno w przypadku gdy strona jest reprezentowana przez profesjonalnego pełnomocnika, jak i gdy strona występuje samodzielnie,</w:t>
      </w:r>
    </w:p>
    <w:p w14:paraId="5BD06862" w14:textId="77777777" w:rsidR="00F575DB" w:rsidRPr="00F575DB" w:rsidRDefault="00F575DB" w:rsidP="00F575DB">
      <w:pPr>
        <w:numPr>
          <w:ilvl w:val="0"/>
          <w:numId w:val="2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7 dni w przypadku gdy strona jest reprezentowana przez profesjonalnego pełnomocnika oraz gdy strona występuje samodzielnie.</w:t>
      </w:r>
    </w:p>
    <w:p w14:paraId="65415B08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174E1D2C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567" w:right="0"/>
        <w:contextualSpacing/>
        <w:jc w:val="left"/>
        <w:rPr>
          <w:rFonts w:eastAsia="Calibri" w:cs="Times New Roman"/>
          <w:b/>
          <w:color w:val="000000"/>
          <w:kern w:val="0"/>
          <w14:ligatures w14:val="none"/>
        </w:rPr>
      </w:pPr>
      <w:r w:rsidRPr="00F575DB">
        <w:rPr>
          <w:rFonts w:eastAsia="Calibri" w:cs="Times New Roman"/>
          <w:b/>
        </w:rPr>
        <w:t xml:space="preserve">Zgodnie z Kodeksem postępowania cywilnego </w:t>
      </w:r>
      <w:r w:rsidRPr="00F575DB">
        <w:rPr>
          <w:rFonts w:eastAsia="Calibri" w:cs="Times New Roman"/>
          <w:b/>
          <w:color w:val="000000"/>
          <w:kern w:val="0"/>
          <w14:ligatures w14:val="none"/>
        </w:rPr>
        <w:t>pozew może być cofnięty bez zezwolenia pozwanego do czasu:</w:t>
      </w:r>
    </w:p>
    <w:p w14:paraId="2AC1DD9A" w14:textId="77777777" w:rsidR="00F575DB" w:rsidRPr="00F575DB" w:rsidRDefault="00F575DB" w:rsidP="00F575DB">
      <w:pPr>
        <w:numPr>
          <w:ilvl w:val="1"/>
          <w:numId w:val="2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zamknięcia rozprawy,</w:t>
      </w:r>
    </w:p>
    <w:p w14:paraId="6A5F34C2" w14:textId="77777777" w:rsidR="00F575DB" w:rsidRPr="00F575DB" w:rsidRDefault="00F575DB" w:rsidP="00F575DB">
      <w:pPr>
        <w:numPr>
          <w:ilvl w:val="1"/>
          <w:numId w:val="2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odebrania odpisu pozwu,</w:t>
      </w:r>
    </w:p>
    <w:p w14:paraId="6177F22E" w14:textId="77777777" w:rsidR="00F575DB" w:rsidRPr="00F575DB" w:rsidRDefault="00F575DB" w:rsidP="00F575DB">
      <w:pPr>
        <w:numPr>
          <w:ilvl w:val="1"/>
          <w:numId w:val="2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F575DB">
        <w:rPr>
          <w:rFonts w:eastAsia="Calibri" w:cs="Times New Roman"/>
          <w:bCs/>
          <w:color w:val="000000"/>
          <w:kern w:val="0"/>
          <w14:ligatures w14:val="none"/>
        </w:rPr>
        <w:t>rozpoczęcia rozprawy.</w:t>
      </w:r>
    </w:p>
    <w:p w14:paraId="5192CAA4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774E00E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567"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</w:rPr>
        <w:t xml:space="preserve">Zgodnie z Kodeksem postępowania cywilnego </w:t>
      </w:r>
      <w:r w:rsidRPr="00F575DB">
        <w:rPr>
          <w:rFonts w:eastAsia="Calibri" w:cs="Times New Roman"/>
          <w:b/>
          <w:kern w:val="0"/>
          <w14:ligatures w14:val="none"/>
        </w:rPr>
        <w:t>podstawową zasadą odnoszącą się do kosztów postępowania nieprocesowego jest reguła według której:</w:t>
      </w:r>
    </w:p>
    <w:p w14:paraId="29C430D6" w14:textId="77777777" w:rsidR="00F575DB" w:rsidRPr="00F575DB" w:rsidRDefault="00F575DB" w:rsidP="00F575DB">
      <w:pPr>
        <w:numPr>
          <w:ilvl w:val="0"/>
          <w:numId w:val="2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koszty są wzajemnie znoszone,</w:t>
      </w:r>
    </w:p>
    <w:p w14:paraId="66923A9C" w14:textId="77777777" w:rsidR="00F575DB" w:rsidRPr="00F575DB" w:rsidRDefault="00F575DB" w:rsidP="00F575DB">
      <w:pPr>
        <w:numPr>
          <w:ilvl w:val="0"/>
          <w:numId w:val="2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obowiązek zwrotu kosztów jest stosunkowo rozdzielany,</w:t>
      </w:r>
    </w:p>
    <w:p w14:paraId="12DF6DB5" w14:textId="77777777" w:rsidR="00F575DB" w:rsidRPr="00F575DB" w:rsidRDefault="00F575DB" w:rsidP="00F575DB">
      <w:pPr>
        <w:numPr>
          <w:ilvl w:val="0"/>
          <w:numId w:val="2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każdy uczestnik ponosi koszty postępowania związane ze swym udziałem w sprawie.</w:t>
      </w:r>
    </w:p>
    <w:p w14:paraId="208075F9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B3A944A" w14:textId="77777777" w:rsidR="00F575DB" w:rsidRPr="00F575DB" w:rsidRDefault="00F575DB" w:rsidP="00F575DB">
      <w:pPr>
        <w:numPr>
          <w:ilvl w:val="0"/>
          <w:numId w:val="6"/>
        </w:numPr>
        <w:spacing w:after="0" w:line="360" w:lineRule="auto"/>
        <w:ind w:left="567"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575DB">
        <w:rPr>
          <w:rFonts w:eastAsia="Calibri" w:cs="Times New Roman"/>
          <w:b/>
        </w:rPr>
        <w:t xml:space="preserve">Zgodnie z Kodeksem postępowania cywilnego </w:t>
      </w:r>
      <w:r w:rsidRPr="00F575DB">
        <w:rPr>
          <w:rFonts w:eastAsia="Calibri" w:cs="Times New Roman"/>
          <w:b/>
          <w:kern w:val="0"/>
          <w14:ligatures w14:val="none"/>
        </w:rPr>
        <w:t>jeżeli przedmiotem sporu jest służebność gruntowa, właściwość oznacza się według:</w:t>
      </w:r>
    </w:p>
    <w:p w14:paraId="1157DBFD" w14:textId="77777777" w:rsidR="00F575DB" w:rsidRPr="00F575DB" w:rsidRDefault="00F575DB" w:rsidP="00F575DB">
      <w:pPr>
        <w:numPr>
          <w:ilvl w:val="1"/>
          <w:numId w:val="2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położenia nieruchomości obciążonej,</w:t>
      </w:r>
    </w:p>
    <w:p w14:paraId="729F2B2F" w14:textId="77777777" w:rsidR="00F575DB" w:rsidRPr="00F575DB" w:rsidRDefault="00F575DB" w:rsidP="00F575DB">
      <w:pPr>
        <w:numPr>
          <w:ilvl w:val="1"/>
          <w:numId w:val="2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położenia nieruchomości władnącej,</w:t>
      </w:r>
    </w:p>
    <w:p w14:paraId="5F48A5B4" w14:textId="77777777" w:rsidR="00F575DB" w:rsidRPr="00F575DB" w:rsidRDefault="00F575DB" w:rsidP="00F575DB">
      <w:pPr>
        <w:numPr>
          <w:ilvl w:val="1"/>
          <w:numId w:val="2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siedziby sądu, w którego okręgu wnioskodawca ma miejsce zamieszkania.</w:t>
      </w:r>
    </w:p>
    <w:p w14:paraId="0109DF82" w14:textId="77777777" w:rsidR="00F575DB" w:rsidRPr="00F575DB" w:rsidRDefault="00F575DB" w:rsidP="00F575D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9630A80" w14:textId="77777777" w:rsidR="00F575DB" w:rsidRPr="00F575DB" w:rsidRDefault="00F575DB" w:rsidP="00F575DB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  <w:r w:rsidRPr="00F575DB">
        <w:rPr>
          <w:rFonts w:eastAsia="Calibri" w:cs="Times New Roman"/>
          <w:b/>
          <w:color w:val="000000"/>
          <w:kern w:val="0"/>
          <w:u w:val="single"/>
          <w14:ligatures w14:val="none"/>
        </w:rPr>
        <w:t xml:space="preserve">PRAWO CYWILNE </w:t>
      </w:r>
    </w:p>
    <w:p w14:paraId="27969091" w14:textId="77777777" w:rsidR="00F575DB" w:rsidRPr="00F575DB" w:rsidRDefault="00F575DB" w:rsidP="00F575DB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:u w:val="single"/>
          <w14:ligatures w14:val="none"/>
        </w:rPr>
      </w:pPr>
    </w:p>
    <w:p w14:paraId="5634C9C4" w14:textId="77777777" w:rsidR="00F575DB" w:rsidRPr="00F575DB" w:rsidRDefault="00F575DB" w:rsidP="00F575DB">
      <w:pPr>
        <w:spacing w:after="0" w:line="360" w:lineRule="auto"/>
        <w:ind w:left="0" w:right="0" w:firstLine="708"/>
        <w:rPr>
          <w:rFonts w:eastAsia="Times New Roman" w:cs="Times New Roman"/>
          <w:kern w:val="0"/>
          <w:lang w:eastAsia="pl-PL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 xml:space="preserve">Adam Nowak, z domu Nowak, syn Jana i Janiny, Pesel: 123456789000, zmarł w dniu 1 stycznia 2025 roku w Piasecznie. </w:t>
      </w:r>
      <w:r w:rsidRPr="00F575DB">
        <w:rPr>
          <w:rFonts w:eastAsia="Times New Roman" w:cs="Times New Roman"/>
          <w:kern w:val="0"/>
          <w:lang w:eastAsia="pl-PL"/>
          <w14:ligatures w14:val="none"/>
        </w:rPr>
        <w:t xml:space="preserve">Miał przed śmiercią ostatnie miejsce zwykłego pobytu w Warszawie przy ul. Marszałkowskiej 82. </w:t>
      </w:r>
      <w:r w:rsidRPr="00F575DB">
        <w:rPr>
          <w:rFonts w:eastAsia="Calibri" w:cs="Times New Roman"/>
          <w:bCs/>
          <w:kern w:val="0"/>
          <w14:ligatures w14:val="none"/>
        </w:rPr>
        <w:t>Pozostawił testament notarialny z dnia 2 stycznia 2024 roku, w którym do spadku powołał swoją żonę Annę Nowak.</w:t>
      </w:r>
    </w:p>
    <w:p w14:paraId="422D3BCB" w14:textId="77777777" w:rsidR="00F575DB" w:rsidRPr="00F575DB" w:rsidRDefault="00F575DB" w:rsidP="00F575DB">
      <w:pPr>
        <w:spacing w:after="0" w:line="360" w:lineRule="auto"/>
        <w:ind w:left="0" w:right="0" w:firstLine="708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W chwili śmierci Adama Nowaka żyli jego:</w:t>
      </w:r>
    </w:p>
    <w:p w14:paraId="5C5BC18C" w14:textId="77777777" w:rsidR="00F575DB" w:rsidRPr="00F575DB" w:rsidRDefault="00F575DB" w:rsidP="00F575DB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lastRenderedPageBreak/>
        <w:t>żona Anna Nowak, córka Pawła i Pauliny, urodzona w dniu 1 stycznia 1960 roku w Warszawie,</w:t>
      </w:r>
    </w:p>
    <w:p w14:paraId="471CF9CA" w14:textId="77777777" w:rsidR="00F575DB" w:rsidRPr="00F575DB" w:rsidRDefault="00F575DB" w:rsidP="00F575DB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córka Zofia Nowak, córka Anny i Adama, urodzona w dniu 1 stycznia 1982 roku w Warszawie,</w:t>
      </w:r>
    </w:p>
    <w:p w14:paraId="3DA7A3BC" w14:textId="77777777" w:rsidR="00F575DB" w:rsidRPr="00F575DB" w:rsidRDefault="00F575DB" w:rsidP="00F575DB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córka Celina Nowak, córka Anny i Adama, urodzona w dniu 1 stycznia 1984 roku w Warszawie,</w:t>
      </w:r>
    </w:p>
    <w:p w14:paraId="6341259B" w14:textId="77777777" w:rsidR="00F575DB" w:rsidRPr="00F575DB" w:rsidRDefault="00F575DB" w:rsidP="00F575DB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syn Krzysztof Nowak, syn Anny i Adama, urodzony w dniu 1 stycznia 1986 roku w Warszawie,</w:t>
      </w:r>
    </w:p>
    <w:p w14:paraId="554CA1FE" w14:textId="77777777" w:rsidR="00F575DB" w:rsidRPr="00F575DB" w:rsidRDefault="00F575DB" w:rsidP="00F575DB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>syn Piotr Nowak, syn Anny i Adama, urodzony w dniu 1 stycznia 1988 roku w Warszawie.</w:t>
      </w:r>
    </w:p>
    <w:p w14:paraId="77EF82AF" w14:textId="77777777" w:rsidR="00F575DB" w:rsidRPr="00F575DB" w:rsidRDefault="00F575DB" w:rsidP="00F575DB">
      <w:pPr>
        <w:spacing w:after="0" w:line="360" w:lineRule="auto"/>
        <w:ind w:left="0" w:right="0" w:firstLine="708"/>
        <w:rPr>
          <w:rFonts w:eastAsia="Calibri" w:cs="Times New Roman"/>
          <w:bCs/>
          <w:kern w:val="0"/>
          <w14:ligatures w14:val="none"/>
        </w:rPr>
      </w:pPr>
      <w:r w:rsidRPr="00F575DB">
        <w:rPr>
          <w:rFonts w:eastAsia="Calibri" w:cs="Times New Roman"/>
          <w:bCs/>
          <w:kern w:val="0"/>
          <w14:ligatures w14:val="none"/>
        </w:rPr>
        <w:t xml:space="preserve">W toku postępowania o stwierdzenie nabycia spadku po Adamie Nowaku toczącego się pod sygnaturą I </w:t>
      </w:r>
      <w:proofErr w:type="spellStart"/>
      <w:r w:rsidRPr="00F575DB">
        <w:rPr>
          <w:rFonts w:eastAsia="Calibri" w:cs="Times New Roman"/>
          <w:bCs/>
          <w:kern w:val="0"/>
          <w14:ligatures w14:val="none"/>
        </w:rPr>
        <w:t>Ns</w:t>
      </w:r>
      <w:proofErr w:type="spellEnd"/>
      <w:r w:rsidRPr="00F575DB">
        <w:rPr>
          <w:rFonts w:eastAsia="Calibri" w:cs="Times New Roman"/>
          <w:bCs/>
          <w:kern w:val="0"/>
          <w14:ligatures w14:val="none"/>
        </w:rPr>
        <w:t xml:space="preserve"> 100/25 zostało ustalone, na podstawie opinii biegłych sądowych, że testament z dnia 2 stycznia 2024 roku został sporządzony </w:t>
      </w:r>
      <w:r w:rsidRPr="00F575DB">
        <w:rPr>
          <w:rFonts w:eastAsia="Calibri" w:cs="Times New Roman"/>
          <w:kern w:val="0"/>
          <w14:ligatures w14:val="none"/>
        </w:rPr>
        <w:t>w stanie wyłączającym świadome albo swobodne powzięcie decyzji i wyrażenie woli. Wniosek o stwierdzenie nabycia spadku złożyła żona spadkodawcy, a jego dzieci brały udział w sprawie. Nikt nie złożył oświadczenia o odrzuceniu spadku. W dniu 9 marca 2026 roku Przewodnicząca zamknęła rozprawę a Sąd odroczył ogłoszenie orzeczenia do dnia 16 marca 2026 roku.</w:t>
      </w:r>
    </w:p>
    <w:p w14:paraId="3A75659E" w14:textId="77777777" w:rsidR="00F575DB" w:rsidRPr="00F575DB" w:rsidRDefault="00F575DB" w:rsidP="00F575DB">
      <w:pPr>
        <w:spacing w:after="0"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F575DB">
        <w:rPr>
          <w:rFonts w:eastAsia="Calibri" w:cs="Times New Roman"/>
          <w:kern w:val="0"/>
          <w14:ligatures w14:val="none"/>
        </w:rPr>
        <w:t xml:space="preserve">Jaka decyzja procesowa powinna zostać podjęta w sprawie i jakie przepisy prawne znajdą w sprawie zastosowanie.  </w:t>
      </w:r>
    </w:p>
    <w:p w14:paraId="0B250315" w14:textId="77777777" w:rsidR="00B34EC7" w:rsidRDefault="00B34EC7"/>
    <w:sectPr w:rsidR="00B34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66CC"/>
    <w:multiLevelType w:val="hybridMultilevel"/>
    <w:tmpl w:val="02C813D0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856698"/>
    <w:multiLevelType w:val="hybridMultilevel"/>
    <w:tmpl w:val="1DFC99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575E2302">
      <w:start w:val="1"/>
      <w:numFmt w:val="upperLetter"/>
      <w:lvlText w:val="%2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454A4D"/>
    <w:multiLevelType w:val="hybridMultilevel"/>
    <w:tmpl w:val="6492A82A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683C45"/>
    <w:multiLevelType w:val="hybridMultilevel"/>
    <w:tmpl w:val="E9B8E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48A7573"/>
    <w:multiLevelType w:val="hybridMultilevel"/>
    <w:tmpl w:val="830E56D8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7E5751"/>
    <w:multiLevelType w:val="hybridMultilevel"/>
    <w:tmpl w:val="401AB9EC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EF134E"/>
    <w:multiLevelType w:val="hybridMultilevel"/>
    <w:tmpl w:val="35EE5BDE"/>
    <w:lvl w:ilvl="0" w:tplc="BE1E086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9DA0B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76"/>
    <w:multiLevelType w:val="hybridMultilevel"/>
    <w:tmpl w:val="DCB8359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B290F"/>
    <w:multiLevelType w:val="hybridMultilevel"/>
    <w:tmpl w:val="E0C6B66C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C62407"/>
    <w:multiLevelType w:val="hybridMultilevel"/>
    <w:tmpl w:val="D4C082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B3BFD"/>
    <w:multiLevelType w:val="hybridMultilevel"/>
    <w:tmpl w:val="7F7C3C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96C11"/>
    <w:multiLevelType w:val="hybridMultilevel"/>
    <w:tmpl w:val="4FE435B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D434A"/>
    <w:multiLevelType w:val="hybridMultilevel"/>
    <w:tmpl w:val="38E645CC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135E09"/>
    <w:multiLevelType w:val="hybridMultilevel"/>
    <w:tmpl w:val="AE6E62F2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43D31F0"/>
    <w:multiLevelType w:val="hybridMultilevel"/>
    <w:tmpl w:val="E94224F8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F951A3"/>
    <w:multiLevelType w:val="hybridMultilevel"/>
    <w:tmpl w:val="BD5E4D7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150015">
      <w:start w:val="1"/>
      <w:numFmt w:val="upperLetter"/>
      <w:lvlText w:val="%2."/>
      <w:lvlJc w:val="left"/>
      <w:pPr>
        <w:ind w:left="107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A105E"/>
    <w:multiLevelType w:val="hybridMultilevel"/>
    <w:tmpl w:val="0AAE29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D1CD1"/>
    <w:multiLevelType w:val="hybridMultilevel"/>
    <w:tmpl w:val="94760D24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4148DC"/>
    <w:multiLevelType w:val="hybridMultilevel"/>
    <w:tmpl w:val="3AC62F02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9117D7"/>
    <w:multiLevelType w:val="hybridMultilevel"/>
    <w:tmpl w:val="852EA3D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14616324">
    <w:abstractNumId w:val="17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4"/>
  </w:num>
  <w:num w:numId="5" w16cid:durableId="828248301">
    <w:abstractNumId w:val="10"/>
  </w:num>
  <w:num w:numId="6" w16cid:durableId="1443844642">
    <w:abstractNumId w:val="7"/>
  </w:num>
  <w:num w:numId="7" w16cid:durableId="427317201">
    <w:abstractNumId w:val="5"/>
  </w:num>
  <w:num w:numId="8" w16cid:durableId="1799686434">
    <w:abstractNumId w:val="0"/>
  </w:num>
  <w:num w:numId="9" w16cid:durableId="774637669">
    <w:abstractNumId w:val="21"/>
  </w:num>
  <w:num w:numId="10" w16cid:durableId="728768003">
    <w:abstractNumId w:val="20"/>
  </w:num>
  <w:num w:numId="11" w16cid:durableId="1324117678">
    <w:abstractNumId w:val="11"/>
  </w:num>
  <w:num w:numId="12" w16cid:durableId="816724519">
    <w:abstractNumId w:val="14"/>
  </w:num>
  <w:num w:numId="13" w16cid:durableId="1841775177">
    <w:abstractNumId w:val="22"/>
  </w:num>
  <w:num w:numId="14" w16cid:durableId="127405713">
    <w:abstractNumId w:val="18"/>
  </w:num>
  <w:num w:numId="15" w16cid:durableId="1042704139">
    <w:abstractNumId w:val="15"/>
  </w:num>
  <w:num w:numId="16" w16cid:durableId="1396783143">
    <w:abstractNumId w:val="3"/>
  </w:num>
  <w:num w:numId="17" w16cid:durableId="404840185">
    <w:abstractNumId w:val="12"/>
  </w:num>
  <w:num w:numId="18" w16cid:durableId="932589989">
    <w:abstractNumId w:val="2"/>
  </w:num>
  <w:num w:numId="19" w16cid:durableId="2142652574">
    <w:abstractNumId w:val="6"/>
  </w:num>
  <w:num w:numId="20" w16cid:durableId="249894548">
    <w:abstractNumId w:val="8"/>
  </w:num>
  <w:num w:numId="21" w16cid:durableId="1856456706">
    <w:abstractNumId w:val="9"/>
  </w:num>
  <w:num w:numId="22" w16cid:durableId="425081727">
    <w:abstractNumId w:val="13"/>
  </w:num>
  <w:num w:numId="23" w16cid:durableId="24988647">
    <w:abstractNumId w:val="1"/>
  </w:num>
  <w:num w:numId="24" w16cid:durableId="872689025">
    <w:abstractNumId w:val="19"/>
  </w:num>
  <w:num w:numId="25" w16cid:durableId="8483015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DB"/>
    <w:rsid w:val="00093D01"/>
    <w:rsid w:val="0017340A"/>
    <w:rsid w:val="001F578F"/>
    <w:rsid w:val="003C5056"/>
    <w:rsid w:val="00404812"/>
    <w:rsid w:val="004E23CD"/>
    <w:rsid w:val="00886BAA"/>
    <w:rsid w:val="009A74E1"/>
    <w:rsid w:val="00B34EC7"/>
    <w:rsid w:val="00B50897"/>
    <w:rsid w:val="00BB48D1"/>
    <w:rsid w:val="00C32AF7"/>
    <w:rsid w:val="00C66091"/>
    <w:rsid w:val="00D439EA"/>
    <w:rsid w:val="00D97F2C"/>
    <w:rsid w:val="00DF22D4"/>
    <w:rsid w:val="00F5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A2C9"/>
  <w15:chartTrackingRefBased/>
  <w15:docId w15:val="{2432536B-4A6C-4272-926D-4602E126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5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5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5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5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5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5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5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F57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5D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5D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5D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5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5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5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5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5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5DB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5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5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5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5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5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5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995</Words>
  <Characters>5971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2026-07-22T14:38:00Z</dcterms:created>
  <dcterms:modified xsi:type="dcterms:W3CDTF">2026-07-29T09:29:00Z</dcterms:modified>
</cp:coreProperties>
</file>