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4A9" w:rsidRDefault="00CE64A9" w:rsidP="00CE64A9">
      <w:pPr>
        <w:pStyle w:val="NormalnyWeb"/>
        <w:jc w:val="right"/>
        <w:rPr>
          <w:color w:val="000000"/>
        </w:rPr>
      </w:pPr>
      <w:r w:rsidRPr="009F4010">
        <w:rPr>
          <w:color w:val="000000"/>
        </w:rPr>
        <w:t>Jarocin, dnia 14 marca 2025 r.</w:t>
      </w:r>
    </w:p>
    <w:p w:rsidR="00A06404" w:rsidRPr="009F4010" w:rsidRDefault="00A06404" w:rsidP="00CE64A9">
      <w:pPr>
        <w:pStyle w:val="NormalnyWeb"/>
        <w:jc w:val="right"/>
        <w:rPr>
          <w:color w:val="000000"/>
        </w:rPr>
      </w:pPr>
    </w:p>
    <w:p w:rsidR="00CE64A9" w:rsidRPr="0000405E" w:rsidRDefault="00CE64A9" w:rsidP="00CE64A9">
      <w:pPr>
        <w:pStyle w:val="Bezodstpw"/>
        <w:jc w:val="both"/>
      </w:pPr>
      <w:r w:rsidRPr="0000405E">
        <w:t>...................................................................</w:t>
      </w:r>
    </w:p>
    <w:p w:rsidR="00CE64A9" w:rsidRDefault="00CE64A9" w:rsidP="00CE64A9">
      <w:pPr>
        <w:pStyle w:val="Bezodstpw"/>
        <w:jc w:val="both"/>
        <w:rPr>
          <w:rFonts w:ascii="Times New Roman" w:hAnsi="Times New Roman" w:cs="Times New Roman"/>
        </w:rPr>
      </w:pPr>
      <w:r w:rsidRPr="00A75E59">
        <w:rPr>
          <w:rFonts w:ascii="Times New Roman" w:hAnsi="Times New Roman" w:cs="Times New Roman"/>
        </w:rPr>
        <w:t xml:space="preserve">                     imię i nazwisko</w:t>
      </w:r>
    </w:p>
    <w:p w:rsidR="00CE64A9" w:rsidRPr="00A75E59" w:rsidRDefault="00CE64A9" w:rsidP="00CE64A9">
      <w:pPr>
        <w:pStyle w:val="Bezodstpw"/>
        <w:jc w:val="both"/>
        <w:rPr>
          <w:rFonts w:ascii="Times New Roman" w:hAnsi="Times New Roman" w:cs="Times New Roman"/>
        </w:rPr>
      </w:pPr>
    </w:p>
    <w:p w:rsidR="00CE64A9" w:rsidRPr="0000405E" w:rsidRDefault="00CE64A9" w:rsidP="00CE64A9">
      <w:pPr>
        <w:pStyle w:val="Bezodstpw"/>
        <w:jc w:val="both"/>
      </w:pPr>
    </w:p>
    <w:p w:rsidR="00CE64A9" w:rsidRPr="009F4010" w:rsidRDefault="00CE64A9" w:rsidP="00CE64A9">
      <w:pPr>
        <w:pStyle w:val="NormalnyWeb"/>
        <w:jc w:val="center"/>
        <w:rPr>
          <w:b/>
          <w:color w:val="000000"/>
          <w:sz w:val="28"/>
          <w:szCs w:val="28"/>
        </w:rPr>
      </w:pPr>
      <w:r w:rsidRPr="009F4010">
        <w:rPr>
          <w:b/>
          <w:color w:val="000000"/>
          <w:sz w:val="28"/>
          <w:szCs w:val="28"/>
        </w:rPr>
        <w:t xml:space="preserve">Test kwalifikacyjny dla kandydatów na stanowisko asystenta sędziego </w:t>
      </w:r>
      <w:r w:rsidR="00DA2044">
        <w:rPr>
          <w:b/>
          <w:color w:val="000000"/>
          <w:sz w:val="28"/>
          <w:szCs w:val="28"/>
        </w:rPr>
        <w:br/>
      </w:r>
      <w:r w:rsidRPr="009F4010">
        <w:rPr>
          <w:b/>
          <w:color w:val="000000"/>
          <w:sz w:val="28"/>
          <w:szCs w:val="28"/>
        </w:rPr>
        <w:t>w Sądzie Rejonowym w Jarocinie</w:t>
      </w:r>
    </w:p>
    <w:p w:rsidR="00CE64A9" w:rsidRDefault="00CE64A9" w:rsidP="00CE64A9">
      <w:pPr>
        <w:pStyle w:val="NormalnyWeb"/>
        <w:jc w:val="both"/>
        <w:rPr>
          <w:color w:val="000000"/>
        </w:rPr>
      </w:pPr>
      <w:r w:rsidRPr="00464894">
        <w:rPr>
          <w:color w:val="000000"/>
        </w:rPr>
        <w:t>Test jednokrotnego wyboru. Odpowiedź właściwą należy wskazać przez zakreślenie znakiem „X” oznaczenia literowego. W przypadku zmiany dokonanego wyboru, pierwsze zakreślenie należy przekreślić podwójną linią „=” oraz opisać „skreślono odpowiedź”. Brak poprawek dokonanych w podany sposób spowoduje, że odpowiedź zostanie potraktowana jako błędna.</w:t>
      </w:r>
    </w:p>
    <w:p w:rsidR="00A06404" w:rsidRDefault="00A06404" w:rsidP="00CE64A9">
      <w:pPr>
        <w:pStyle w:val="NormalnyWeb"/>
        <w:jc w:val="both"/>
        <w:rPr>
          <w:color w:val="000000"/>
        </w:rPr>
      </w:pPr>
    </w:p>
    <w:p w:rsidR="00CE64A9" w:rsidRPr="00B25E8F" w:rsidRDefault="00CE64A9" w:rsidP="00CE64A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cywilnym osoba prawna działa poprzez: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Pr="00CE64A9">
        <w:rPr>
          <w:rFonts w:ascii="Times New Roman" w:hAnsi="Times New Roman" w:cs="Times New Roman"/>
          <w:sz w:val="24"/>
          <w:szCs w:val="24"/>
        </w:rPr>
        <w:t>swoje organy w sposób przewidziany w ustawie i w opartym na niej statucie;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swoich przedstawicieli w sposób przewidziany w ustawie i w opartym na niej statucie;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swoich przedstawicieli i prokurentów w sposób przewidziany w ustawie i w opartym na niej statucie.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cywilnym oświadczenie woli należy tak tłumaczyć, jak tego wymagają: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zasady współżycia społecznego;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B. zasady współżycia społecznego oraz ustalone zwyczaje;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ze względu na okoliczności, w których złożone zostało, zasady współżycia społecznego oraz ustalone zwyczaje.</w:t>
      </w:r>
    </w:p>
    <w:p w:rsidR="00CE64A9" w:rsidRPr="00B25E8F" w:rsidRDefault="00CE64A9" w:rsidP="001721D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Roszczenie o zadośćuczynienie przechodzi na spadkobierców tylko wtedy, gdy zostało uznane na piśmie albo gdy powództwo zostało wytoczone: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przed upływem lat trzech od daty śmierci poszkodowanego;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B. za życia poszkodowanego;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przed upływem roku od daty śmierci poszkodowanego.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lastRenderedPageBreak/>
        <w:t>Zgodnie z kodeksem cywilnym jeśli dłużnik opóźnia się ze spełnieniem świadczenia pieniężnego wierzyciel może zażądać odsetek: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tylko gdy opóźnienie jest następstwem okoliczności za które dłużnik ponosi odpowiedzialność;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tylko gdy w wyniku opóźnienia wierzyciel poniósł szkodę;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C. również gdy opóźnienie jest następstwem okoliczności za które dłużnik nie ponosi odpowiedzialności.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sąd rozpoznaje sprawy: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wyłącznie w postępowaniu nieprocesowym;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B. w procesie, chyba że ustawa stanowi inaczej;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wyłącznie w procesie.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zdolność sądową ma: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</w:t>
      </w:r>
      <w:r w:rsidRPr="00CE64A9">
        <w:rPr>
          <w:rFonts w:ascii="Times New Roman" w:hAnsi="Times New Roman" w:cs="Times New Roman"/>
          <w:sz w:val="24"/>
          <w:szCs w:val="24"/>
        </w:rPr>
        <w:t>. każda osoba fizyczna i prawna oraz jednostki organizacyjne niebędące osobami prawnymi, którym ustawa przyznaje zdolność prawną;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wyłącznie osoba fizyczna mająca pełną zdolność do czynności prawnych oraz osoba prawna;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wyłącznie osoba fizyczna i prawna.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jeżeli jest kilku pełnomocników jednej strony, sąd doręcza pismo: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każdemu z nich;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B. </w:t>
      </w:r>
      <w:r w:rsidRPr="00CE64A9">
        <w:rPr>
          <w:rFonts w:ascii="Times New Roman" w:hAnsi="Times New Roman" w:cs="Times New Roman"/>
          <w:sz w:val="24"/>
          <w:szCs w:val="24"/>
        </w:rPr>
        <w:t>tylko jednemu z nich;</w:t>
      </w:r>
    </w:p>
    <w:p w:rsid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zawsze tej stronie i jednemu z jej pełnomocników.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cywilnego, sąd ocenia wiarygodność i moc dowodów: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według istotności faktów będących przedmiotem dowodzenia oraz zgodnie </w:t>
      </w:r>
      <w:r w:rsidR="00123BC1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B25E8F">
        <w:rPr>
          <w:rFonts w:ascii="Times New Roman" w:hAnsi="Times New Roman" w:cs="Times New Roman"/>
          <w:sz w:val="24"/>
          <w:szCs w:val="24"/>
        </w:rPr>
        <w:t>z zasadami logiki i doświadczenia życiowego;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na podstawie większości zebranego materiału dowodowego i istotności faktów;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C. </w:t>
      </w:r>
      <w:r w:rsidRPr="00CE64A9">
        <w:rPr>
          <w:rFonts w:ascii="Times New Roman" w:hAnsi="Times New Roman" w:cs="Times New Roman"/>
          <w:sz w:val="24"/>
          <w:szCs w:val="24"/>
        </w:rPr>
        <w:t>według własnego przekonania na podstawie wszechstronnego rozważenia zebranego materiału dowodowego.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lastRenderedPageBreak/>
        <w:t>Świadkami nie mogą być: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Pr="00CE64A9">
        <w:rPr>
          <w:rFonts w:ascii="Times New Roman" w:hAnsi="Times New Roman" w:cs="Times New Roman"/>
          <w:sz w:val="24"/>
          <w:szCs w:val="24"/>
        </w:rPr>
        <w:t>współuczestnicy jednolici;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osoby zdolne do spostrzegania lub komunikowania swych spostrzeżeń;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policjanci na okoliczność prowadzonych postępowań przeciwko zorganizowanej przestępczości.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 uzupełnienie wyroku następuje: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A. na wniosek strony;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B. z urzędu przez sąd rejonowy;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z urzędu przez sąd odwoławczy.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sz w:val="24"/>
          <w:szCs w:val="24"/>
        </w:rPr>
        <w:t>Zgodnie z Kodeksem postępowania cywilnego od wyroku zaocznego pozwany przeciwko któremu zapadł wyrok zaoczny może wnieść środek zaskarżenia w postaci: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A. zarzutów;</w:t>
      </w:r>
    </w:p>
    <w:p w:rsidR="00CE64A9" w:rsidRPr="00CE64A9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E64A9">
        <w:rPr>
          <w:rFonts w:ascii="Times New Roman" w:hAnsi="Times New Roman" w:cs="Times New Roman"/>
          <w:sz w:val="24"/>
          <w:szCs w:val="24"/>
        </w:rPr>
        <w:t>B. sprzeciwu;</w:t>
      </w:r>
    </w:p>
    <w:p w:rsidR="00CE64A9" w:rsidRPr="00B25E8F" w:rsidRDefault="00CE64A9" w:rsidP="001721D0">
      <w:pPr>
        <w:pStyle w:val="Bezodstpw"/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>C. apelacji.</w:t>
      </w:r>
    </w:p>
    <w:p w:rsidR="00CE64A9" w:rsidRPr="00B25E8F" w:rsidRDefault="00CE64A9" w:rsidP="001721D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sz w:val="24"/>
          <w:szCs w:val="24"/>
        </w:rPr>
        <w:t xml:space="preserve">Od wniosku o sporządzenie uzasadnienia oraz doręczenie odpisu orzeczenia </w:t>
      </w:r>
      <w:r w:rsidR="00DA204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25E8F">
        <w:rPr>
          <w:rFonts w:ascii="Times New Roman" w:hAnsi="Times New Roman" w:cs="Times New Roman"/>
          <w:b/>
          <w:bCs/>
          <w:sz w:val="24"/>
          <w:szCs w:val="24"/>
        </w:rPr>
        <w:t xml:space="preserve">z uzasadnieniem, zgłoszonego w terminie tygodniowym od dnia ogłoszenia sentencji: </w:t>
      </w:r>
    </w:p>
    <w:p w:rsidR="00CE64A9" w:rsidRPr="00CE64A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A. </w:t>
      </w:r>
      <w:r w:rsidRPr="00CE64A9">
        <w:rPr>
          <w:rFonts w:ascii="Times New Roman" w:hAnsi="Times New Roman" w:cs="Times New Roman"/>
          <w:sz w:val="24"/>
          <w:szCs w:val="24"/>
        </w:rPr>
        <w:t xml:space="preserve">pobiera się opłatę, 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B. nie pobiera się opłaty, 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E8F">
        <w:rPr>
          <w:rFonts w:ascii="Times New Roman" w:hAnsi="Times New Roman" w:cs="Times New Roman"/>
          <w:sz w:val="24"/>
          <w:szCs w:val="24"/>
        </w:rPr>
        <w:t xml:space="preserve">C. pobiera się opłatę, chyba, że sąd inaczej postanowi. 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Skutkiem cofnięcia powództwa </w:t>
      </w:r>
      <w:r w:rsidR="001D41A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bez zrzeczenia się roszczenia </w:t>
      </w: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przez powoda przed rozpoczęciem rozprawy jest: </w:t>
      </w:r>
    </w:p>
    <w:p w:rsidR="00CE64A9" w:rsidRPr="00B25E8F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A. </w:t>
      </w:r>
      <w:r w:rsidR="00CE64A9" w:rsidRPr="00B25E8F">
        <w:rPr>
          <w:rFonts w:ascii="Times New Roman" w:hAnsi="Times New Roman" w:cs="Times New Roman"/>
          <w:color w:val="000000"/>
          <w:sz w:val="24"/>
          <w:szCs w:val="24"/>
        </w:rPr>
        <w:t xml:space="preserve">zwrot pozwu, </w:t>
      </w:r>
    </w:p>
    <w:p w:rsidR="00CE64A9" w:rsidRPr="00CE64A9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B. </w:t>
      </w:r>
      <w:r w:rsidR="00CE64A9" w:rsidRPr="00CE64A9">
        <w:rPr>
          <w:rFonts w:ascii="Times New Roman" w:hAnsi="Times New Roman" w:cs="Times New Roman"/>
          <w:color w:val="000000"/>
          <w:sz w:val="24"/>
          <w:szCs w:val="24"/>
        </w:rPr>
        <w:t xml:space="preserve">umorzenie postępowania, </w:t>
      </w:r>
    </w:p>
    <w:p w:rsidR="00A06404" w:rsidRDefault="00DB026F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C. </w:t>
      </w:r>
      <w:r w:rsidR="00CE64A9" w:rsidRPr="00B25E8F">
        <w:rPr>
          <w:rFonts w:ascii="Times New Roman" w:hAnsi="Times New Roman" w:cs="Times New Roman"/>
          <w:color w:val="000000"/>
          <w:sz w:val="24"/>
          <w:szCs w:val="24"/>
        </w:rPr>
        <w:t xml:space="preserve">oddalenie powództwa. </w:t>
      </w:r>
    </w:p>
    <w:p w:rsidR="00AE3AD9" w:rsidRPr="00B25E8F" w:rsidRDefault="00AE3AD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Wniosek o uzasadnienie wyroku zaocznego uwzględniającego powództwo w całości, wniesiony przez powoda, podlega:</w:t>
      </w:r>
    </w:p>
    <w:p w:rsidR="00CE64A9" w:rsidRPr="00CE64A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64A9">
        <w:rPr>
          <w:rFonts w:ascii="Times New Roman" w:hAnsi="Times New Roman" w:cs="Times New Roman"/>
          <w:bCs/>
          <w:color w:val="000000"/>
          <w:sz w:val="24"/>
          <w:szCs w:val="24"/>
        </w:rPr>
        <w:t>A. odrzuceniu,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B.</w:t>
      </w: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uwzględnieniu, </w:t>
      </w:r>
    </w:p>
    <w:p w:rsidR="00AE3AD9" w:rsidRPr="001721D0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C. zwrotowi, jeżeli powód nie uiścił opłaty w kwocie 100 zł,</w:t>
      </w:r>
    </w:p>
    <w:p w:rsidR="00CE64A9" w:rsidRPr="00B25E8F" w:rsidRDefault="00CE64A9" w:rsidP="001721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Termin do wniesienia sprzeciwu od nakazu zapłaty wniesiony przez Polaka mieszkającego w Niemczech wynosi: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A.</w:t>
      </w:r>
      <w:r w:rsidRPr="00B25E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dwa tygodnie od doręczenia nakazu zapłaty,</w:t>
      </w:r>
    </w:p>
    <w:p w:rsidR="00CE64A9" w:rsidRPr="00CE64A9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64A9">
        <w:rPr>
          <w:rFonts w:ascii="Times New Roman" w:hAnsi="Times New Roman" w:cs="Times New Roman"/>
          <w:bCs/>
          <w:color w:val="000000"/>
          <w:sz w:val="24"/>
          <w:szCs w:val="24"/>
        </w:rPr>
        <w:t>B. miesiąc od doręczenia nakazu zapłaty,</w:t>
      </w:r>
    </w:p>
    <w:p w:rsidR="00CE64A9" w:rsidRPr="00B25E8F" w:rsidRDefault="00CE64A9" w:rsidP="001721D0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5E8F">
        <w:rPr>
          <w:rFonts w:ascii="Times New Roman" w:hAnsi="Times New Roman" w:cs="Times New Roman"/>
          <w:bCs/>
          <w:color w:val="000000"/>
          <w:sz w:val="24"/>
          <w:szCs w:val="24"/>
        </w:rPr>
        <w:t>C. trzy miesiące od doręczenia nakazu zapłaty.</w:t>
      </w:r>
    </w:p>
    <w:p w:rsidR="00CE64A9" w:rsidRPr="00B25E8F" w:rsidRDefault="00CE64A9" w:rsidP="001721D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B25E8F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E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Śmierć strony postępowania cywilnego będącej osobą fizyczną, która nastąpiła przed wszczęciem tego postępowania, skutkuje</w:t>
      </w:r>
      <w:r w:rsidRPr="00B25E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CE64A9" w:rsidRPr="00DB026F" w:rsidRDefault="00DB026F" w:rsidP="001721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A. </w:t>
      </w:r>
      <w:r w:rsidR="00CE64A9" w:rsidRPr="00DB026F">
        <w:rPr>
          <w:rFonts w:ascii="Times New Roman" w:eastAsia="Times New Roman" w:hAnsi="Times New Roman" w:cs="Times New Roman"/>
          <w:sz w:val="24"/>
          <w:szCs w:val="24"/>
          <w:lang w:eastAsia="pl-PL"/>
        </w:rPr>
        <w:t>zwrotem pozwu,</w:t>
      </w:r>
    </w:p>
    <w:p w:rsidR="00CE64A9" w:rsidRPr="00CE64A9" w:rsidRDefault="00DB026F" w:rsidP="001721D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</w:t>
      </w:r>
      <w:r w:rsidR="00CE64A9" w:rsidRPr="00CE64A9">
        <w:rPr>
          <w:rFonts w:ascii="Times New Roman" w:eastAsia="Times New Roman" w:hAnsi="Times New Roman" w:cs="Times New Roman"/>
          <w:sz w:val="24"/>
          <w:szCs w:val="24"/>
          <w:lang w:eastAsia="pl-PL"/>
        </w:rPr>
        <w:t>odrzuceniem pozwu,</w:t>
      </w:r>
    </w:p>
    <w:p w:rsidR="00CE64A9" w:rsidRPr="00B25E8F" w:rsidRDefault="00DB026F" w:rsidP="001721D0">
      <w:pPr>
        <w:pStyle w:val="Akapitzlist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C. </w:t>
      </w:r>
      <w:r w:rsidR="00CE64A9" w:rsidRPr="00B25E8F">
        <w:rPr>
          <w:rFonts w:ascii="Times New Roman" w:eastAsia="Times New Roman" w:hAnsi="Times New Roman" w:cs="Times New Roman"/>
          <w:sz w:val="24"/>
          <w:szCs w:val="24"/>
          <w:lang w:eastAsia="pl-PL"/>
        </w:rPr>
        <w:t>zawieszeniem postępowania.</w:t>
      </w:r>
    </w:p>
    <w:p w:rsidR="00CE64A9" w:rsidRPr="00B25E8F" w:rsidRDefault="00CE64A9" w:rsidP="001721D0">
      <w:pPr>
        <w:pStyle w:val="Akapitzlist"/>
        <w:spacing w:after="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:rsidR="005F6883" w:rsidRPr="0069052B" w:rsidRDefault="005F6883" w:rsidP="001721D0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9052B">
        <w:rPr>
          <w:rFonts w:ascii="Times New Roman" w:hAnsi="Times New Roman" w:cs="Times New Roman"/>
          <w:b/>
          <w:sz w:val="24"/>
          <w:szCs w:val="24"/>
        </w:rPr>
        <w:t>W postępowaniu uproszczonym rozpoznaje się sprawy:</w:t>
      </w:r>
    </w:p>
    <w:p w:rsidR="005F6883" w:rsidRPr="0069052B" w:rsidRDefault="005F6883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  <w:r w:rsidRPr="0069052B">
        <w:rPr>
          <w:rFonts w:ascii="Times New Roman" w:hAnsi="Times New Roman" w:cs="Times New Roman"/>
          <w:sz w:val="24"/>
          <w:szCs w:val="24"/>
        </w:rPr>
        <w:t xml:space="preserve"> o zapłatę, jeśli wartość przedmiotu sporu nie przekracza 20.000 złotych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905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6883" w:rsidRPr="0069052B" w:rsidRDefault="005F6883" w:rsidP="001721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69052B">
        <w:rPr>
          <w:rFonts w:ascii="Times New Roman" w:hAnsi="Times New Roman" w:cs="Times New Roman"/>
          <w:sz w:val="24"/>
          <w:szCs w:val="24"/>
        </w:rPr>
        <w:t>o świadczenie, jeśli wartość przedmiotu sporu nie przekracza 20.000 złotych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6883" w:rsidRDefault="005F6883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69052B">
        <w:rPr>
          <w:rFonts w:ascii="Times New Roman" w:hAnsi="Times New Roman" w:cs="Times New Roman"/>
          <w:sz w:val="24"/>
          <w:szCs w:val="24"/>
        </w:rPr>
        <w:t>o zapłatę, jeśli wartość przedmiotu sporu nie przekracza 10.000 złotych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6883" w:rsidRDefault="005F6883" w:rsidP="001721D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Pr="00D60284" w:rsidRDefault="00CE64A9" w:rsidP="001721D0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284">
        <w:rPr>
          <w:rFonts w:ascii="Times New Roman" w:hAnsi="Times New Roman" w:cs="Times New Roman"/>
          <w:b/>
          <w:sz w:val="24"/>
          <w:szCs w:val="24"/>
        </w:rPr>
        <w:t>Karę umowną można zastrzec:</w:t>
      </w:r>
    </w:p>
    <w:p w:rsidR="00DB026F" w:rsidRDefault="00DB026F" w:rsidP="001721D0">
      <w:pPr>
        <w:spacing w:after="16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A. </w:t>
      </w:r>
      <w:r w:rsidR="00CE64A9" w:rsidRPr="00DB0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tytułu niewykonania lub nienależytego wykonania zobowiązania pieniężnego,</w:t>
      </w:r>
    </w:p>
    <w:p w:rsidR="00CE64A9" w:rsidRPr="00DB026F" w:rsidRDefault="00DB026F" w:rsidP="001721D0">
      <w:pPr>
        <w:spacing w:after="160" w:line="36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B. </w:t>
      </w:r>
      <w:r w:rsidR="00CE64A9" w:rsidRPr="00DB02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tytułu niewykonania lub nienależytego wykonania zobowiązania niepieniężnego,</w:t>
      </w:r>
    </w:p>
    <w:p w:rsidR="00CE64A9" w:rsidRDefault="00DB026F" w:rsidP="001721D0">
      <w:pPr>
        <w:spacing w:after="16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CE64A9" w:rsidRPr="00DB026F">
        <w:rPr>
          <w:rFonts w:ascii="Times New Roman" w:hAnsi="Times New Roman" w:cs="Times New Roman"/>
          <w:sz w:val="24"/>
          <w:szCs w:val="24"/>
        </w:rPr>
        <w:t>jako uzupełnienie roszczeń z tytułu odpowiedzialności deliktowej.</w:t>
      </w:r>
    </w:p>
    <w:p w:rsidR="00E27700" w:rsidRPr="00E27700" w:rsidRDefault="00E27700" w:rsidP="00E27700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>19. Sąd umarzając warunkowo postępowanie karne, nie może:</w:t>
      </w:r>
    </w:p>
    <w:p w:rsidR="00E27700" w:rsidRPr="00E34306" w:rsidRDefault="00E27700" w:rsidP="00E3430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nałożyć na sprawcę obowiązku zadośćuczynienia za doznaną krzywdę; </w:t>
      </w:r>
    </w:p>
    <w:p w:rsidR="00E27700" w:rsidRPr="00E34306" w:rsidRDefault="00E27700" w:rsidP="00E3430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>orzec przepadku;</w:t>
      </w:r>
    </w:p>
    <w:p w:rsidR="00E34306" w:rsidRDefault="00E27700" w:rsidP="00E34306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>orzec wobec sprawcy obowiązku wykonywania nieodpłatnej, kontrolowanej pracy na cele społeczne.</w:t>
      </w:r>
    </w:p>
    <w:p w:rsidR="006A7EAF" w:rsidRPr="00E34306" w:rsidRDefault="006A7EAF" w:rsidP="006A7EA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E27700" w:rsidP="00E27700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34306">
        <w:rPr>
          <w:rFonts w:ascii="Times New Roman" w:hAnsi="Times New Roman" w:cs="Times New Roman"/>
          <w:b/>
          <w:sz w:val="24"/>
          <w:szCs w:val="24"/>
        </w:rPr>
        <w:t>0</w:t>
      </w:r>
      <w:r w:rsidRPr="00E27700">
        <w:rPr>
          <w:rFonts w:ascii="Times New Roman" w:hAnsi="Times New Roman" w:cs="Times New Roman"/>
          <w:b/>
          <w:sz w:val="24"/>
          <w:szCs w:val="24"/>
        </w:rPr>
        <w:t>. Zgodnie z Kodeksem karnym, przy ocenie stopnia społecznej szkodliwości czynu sąd nie bierze pod uwagę:</w:t>
      </w:r>
    </w:p>
    <w:p w:rsidR="00E27700" w:rsidRPr="00E34306" w:rsidRDefault="00E27700" w:rsidP="00E34306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postaci zamiaru; </w:t>
      </w:r>
    </w:p>
    <w:p w:rsidR="00E27700" w:rsidRPr="00E34306" w:rsidRDefault="00E27700" w:rsidP="00E34306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rozmiarów wyrządzonej lub grożącej szkody; </w:t>
      </w:r>
    </w:p>
    <w:p w:rsidR="00E27700" w:rsidRDefault="00E27700" w:rsidP="00E34306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34306">
        <w:rPr>
          <w:rFonts w:ascii="Times New Roman" w:hAnsi="Times New Roman" w:cs="Times New Roman"/>
          <w:sz w:val="24"/>
          <w:szCs w:val="24"/>
        </w:rPr>
        <w:t xml:space="preserve">uprzedniej karalności. </w:t>
      </w:r>
    </w:p>
    <w:p w:rsidR="00E34306" w:rsidRDefault="00E34306" w:rsidP="00E3430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A7EAF" w:rsidRPr="00E34306" w:rsidRDefault="006A7EAF" w:rsidP="00E3430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6A7EAF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21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Na zasadach określonych w Kodeksie karnym odpowiada: </w:t>
      </w:r>
    </w:p>
    <w:p w:rsidR="00E27700" w:rsidRPr="006A7EAF" w:rsidRDefault="00E27700" w:rsidP="006A7EA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ten, kto popełnia czyn zabroniony po ukończeniu 15 lat, </w:t>
      </w:r>
    </w:p>
    <w:p w:rsidR="00E27700" w:rsidRPr="006A7EAF" w:rsidRDefault="00E27700" w:rsidP="006A7EA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ten, kto popełnia czyn zabroniony po ukończeniu 17 lat, </w:t>
      </w:r>
    </w:p>
    <w:p w:rsidR="00E27700" w:rsidRDefault="00E27700" w:rsidP="006A7EAF">
      <w:pPr>
        <w:pStyle w:val="Akapitzlist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>ten, kto popełnia czyn zabroniony po ukończeniu 18 lat.</w:t>
      </w:r>
    </w:p>
    <w:p w:rsidR="006A7EAF" w:rsidRPr="006A7EAF" w:rsidRDefault="006A7EAF" w:rsidP="006A7EA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E27700" w:rsidP="00E27700">
      <w:pPr>
        <w:rPr>
          <w:rFonts w:ascii="Times New Roman" w:hAnsi="Times New Roman" w:cs="Times New Roman"/>
          <w:b/>
          <w:sz w:val="24"/>
          <w:szCs w:val="24"/>
        </w:rPr>
      </w:pPr>
      <w:r w:rsidRPr="00E27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EAF">
        <w:rPr>
          <w:rFonts w:ascii="Times New Roman" w:hAnsi="Times New Roman" w:cs="Times New Roman"/>
          <w:b/>
          <w:sz w:val="24"/>
          <w:szCs w:val="24"/>
        </w:rPr>
        <w:t>22</w:t>
      </w:r>
      <w:r w:rsidRPr="00E27700">
        <w:rPr>
          <w:rFonts w:ascii="Times New Roman" w:hAnsi="Times New Roman" w:cs="Times New Roman"/>
          <w:b/>
          <w:sz w:val="24"/>
          <w:szCs w:val="24"/>
        </w:rPr>
        <w:t xml:space="preserve">. Sąd może warunkowo zawiesić wykonanie kary pozbawienia wolności: </w:t>
      </w:r>
    </w:p>
    <w:p w:rsidR="00E27700" w:rsidRPr="006A7EAF" w:rsidRDefault="00E27700" w:rsidP="006A7EAF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orzeczonej w wymiarze nieprzekraczającym roku; </w:t>
      </w:r>
    </w:p>
    <w:p w:rsidR="00E27700" w:rsidRPr="006A7EAF" w:rsidRDefault="00E27700" w:rsidP="006A7EAF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 xml:space="preserve">orzeczonej w wymiarze od 1 do 5 lat; </w:t>
      </w:r>
    </w:p>
    <w:p w:rsidR="00E27700" w:rsidRDefault="00E27700" w:rsidP="006A7EAF">
      <w:pPr>
        <w:pStyle w:val="Akapitzlist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A7EAF">
        <w:rPr>
          <w:rFonts w:ascii="Times New Roman" w:hAnsi="Times New Roman" w:cs="Times New Roman"/>
          <w:sz w:val="24"/>
          <w:szCs w:val="24"/>
        </w:rPr>
        <w:t>orzeczonej w wymiarze od 2 do 5 lat</w:t>
      </w:r>
      <w:r w:rsidR="006A7EAF">
        <w:rPr>
          <w:rFonts w:ascii="Times New Roman" w:hAnsi="Times New Roman" w:cs="Times New Roman"/>
          <w:sz w:val="24"/>
          <w:szCs w:val="24"/>
        </w:rPr>
        <w:t>.</w:t>
      </w:r>
    </w:p>
    <w:p w:rsidR="00886926" w:rsidRPr="006A7EAF" w:rsidRDefault="00886926" w:rsidP="0088692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886926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Kara ograniczenia wolności zgodnie z przepisami kodeksu wykroczeń: </w:t>
      </w:r>
    </w:p>
    <w:p w:rsidR="00E27700" w:rsidRPr="00886926" w:rsidRDefault="00E27700" w:rsidP="0088692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trwa najkrócej 5, najdłużej 30 dni,</w:t>
      </w:r>
    </w:p>
    <w:p w:rsidR="00E27700" w:rsidRPr="00886926" w:rsidRDefault="00E27700" w:rsidP="0088692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trwa 1 miesiąc, </w:t>
      </w:r>
    </w:p>
    <w:p w:rsidR="00E27700" w:rsidRDefault="00E27700" w:rsidP="00886926">
      <w:pPr>
        <w:pStyle w:val="Akapitzlist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trwa 1 miesiąc, ale możliwe jest jej wydłużenie w postępowaniu wykonawczym do 2 miesięcy.</w:t>
      </w:r>
    </w:p>
    <w:p w:rsidR="00886926" w:rsidRPr="00886926" w:rsidRDefault="00886926" w:rsidP="0088692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886926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>. Oskarżony musi mieć obrońcę w postępowaniu karnym, jeżeli:</w:t>
      </w:r>
    </w:p>
    <w:p w:rsidR="00E27700" w:rsidRPr="00886926" w:rsidRDefault="00E27700" w:rsidP="0088692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nie ukończył 18 lat; </w:t>
      </w:r>
    </w:p>
    <w:p w:rsidR="00E27700" w:rsidRPr="00886926" w:rsidRDefault="00E27700" w:rsidP="0088692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nie włada językiem polskim; </w:t>
      </w:r>
    </w:p>
    <w:p w:rsidR="00E27700" w:rsidRDefault="00E27700" w:rsidP="00886926">
      <w:pPr>
        <w:pStyle w:val="Akapitzlist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był w chwili czynu pod wpływem alkoholu</w:t>
      </w:r>
      <w:r w:rsidR="00886926">
        <w:rPr>
          <w:rFonts w:ascii="Times New Roman" w:hAnsi="Times New Roman" w:cs="Times New Roman"/>
          <w:sz w:val="24"/>
          <w:szCs w:val="24"/>
        </w:rPr>
        <w:t>.</w:t>
      </w:r>
    </w:p>
    <w:p w:rsidR="00886926" w:rsidRPr="00886926" w:rsidRDefault="00886926" w:rsidP="0088692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886926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Zgodnie z przepisami Kodeksu postępowania karnego tymczasowe aresztowanie w postępowaniu przygotowawczym stosuje: </w:t>
      </w:r>
    </w:p>
    <w:p w:rsidR="00E27700" w:rsidRPr="00886926" w:rsidRDefault="00E27700" w:rsidP="00886926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prokurator;</w:t>
      </w:r>
    </w:p>
    <w:p w:rsidR="00E27700" w:rsidRPr="00886926" w:rsidRDefault="00E27700" w:rsidP="00886926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sąd rejonowy, w okręgu którego prowadzi się postępowanie przygotowawcze; </w:t>
      </w:r>
    </w:p>
    <w:p w:rsidR="00E27700" w:rsidRDefault="00E27700" w:rsidP="00886926">
      <w:pPr>
        <w:pStyle w:val="Akapitzlist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sąd właściwy do rozpoznania sprawy w I instancji</w:t>
      </w:r>
      <w:r w:rsidR="00886926">
        <w:rPr>
          <w:rFonts w:ascii="Times New Roman" w:hAnsi="Times New Roman" w:cs="Times New Roman"/>
          <w:sz w:val="24"/>
          <w:szCs w:val="24"/>
        </w:rPr>
        <w:t>.</w:t>
      </w:r>
    </w:p>
    <w:p w:rsidR="00886926" w:rsidRPr="00886926" w:rsidRDefault="00886926" w:rsidP="0088692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886926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Zgodnie z przepisami kodeksu karnego wykonawczego rok liczy: </w:t>
      </w:r>
    </w:p>
    <w:p w:rsidR="00E27700" w:rsidRPr="00886926" w:rsidRDefault="00E27700" w:rsidP="00886926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360 dni; </w:t>
      </w:r>
    </w:p>
    <w:p w:rsidR="00E27700" w:rsidRPr="00886926" w:rsidRDefault="00E27700" w:rsidP="00886926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 xml:space="preserve">365 dni; </w:t>
      </w:r>
    </w:p>
    <w:p w:rsidR="00E27700" w:rsidRDefault="00E27700" w:rsidP="00886926">
      <w:pPr>
        <w:pStyle w:val="Akapitzlist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886926">
        <w:rPr>
          <w:rFonts w:ascii="Times New Roman" w:hAnsi="Times New Roman" w:cs="Times New Roman"/>
          <w:sz w:val="24"/>
          <w:szCs w:val="24"/>
        </w:rPr>
        <w:t>365 dni, a w przypadku roku przestępnego – 366 dni</w:t>
      </w:r>
      <w:r w:rsidR="00886926">
        <w:rPr>
          <w:rFonts w:ascii="Times New Roman" w:hAnsi="Times New Roman" w:cs="Times New Roman"/>
          <w:sz w:val="24"/>
          <w:szCs w:val="24"/>
        </w:rPr>
        <w:t>.</w:t>
      </w:r>
    </w:p>
    <w:p w:rsidR="00886926" w:rsidRPr="00886926" w:rsidRDefault="00886926" w:rsidP="0088692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207EA8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Zgodnie Kodeksem karnym, zbrodnią jest: </w:t>
      </w:r>
    </w:p>
    <w:p w:rsidR="00E27700" w:rsidRPr="00207EA8" w:rsidRDefault="00E27700" w:rsidP="00207EA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czyn zabroniony zagrożony karą na czas nie krótszy od lat 3 albo karą surowszą, </w:t>
      </w:r>
    </w:p>
    <w:p w:rsidR="00E27700" w:rsidRPr="00207EA8" w:rsidRDefault="00E27700" w:rsidP="00207EA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czyn zabroniony zagrożony karą na czas nie krótszy od lat 5 albo karą surowszą, </w:t>
      </w:r>
    </w:p>
    <w:p w:rsidR="00E27700" w:rsidRPr="00207EA8" w:rsidRDefault="00E27700" w:rsidP="00207EA8">
      <w:pPr>
        <w:pStyle w:val="Akapitzlist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czyn zabroniony zagrożony karą na czas nie krótszy od lat 8 albo karą surowszą</w:t>
      </w:r>
      <w:r w:rsidR="00207EA8">
        <w:rPr>
          <w:rFonts w:ascii="Times New Roman" w:hAnsi="Times New Roman" w:cs="Times New Roman"/>
          <w:sz w:val="24"/>
          <w:szCs w:val="24"/>
        </w:rPr>
        <w:t>.</w:t>
      </w:r>
    </w:p>
    <w:p w:rsidR="00E27700" w:rsidRPr="00E27700" w:rsidRDefault="00207EA8" w:rsidP="00822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28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>. W przypadku powzięcia wątpliwości co do poczytalności oskarżonego w postępowaniu karnym Sąd:</w:t>
      </w:r>
    </w:p>
    <w:p w:rsidR="00E27700" w:rsidRPr="00207EA8" w:rsidRDefault="00E27700" w:rsidP="00207EA8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dopuszcza dowód z opinii dwóch biegłych psychiatrów; </w:t>
      </w:r>
    </w:p>
    <w:p w:rsidR="00E27700" w:rsidRPr="00207EA8" w:rsidRDefault="00E27700" w:rsidP="00207EA8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dopuszcza dowód z opinii psychiatry i psychologa;</w:t>
      </w:r>
    </w:p>
    <w:p w:rsidR="00E27700" w:rsidRDefault="00E27700" w:rsidP="00207EA8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dopuszcza dowód z opinii biegłych, jeżeli taki wniosek zostanie złożony przez obrońcę.</w:t>
      </w:r>
    </w:p>
    <w:p w:rsidR="00207EA8" w:rsidRPr="00207EA8" w:rsidRDefault="00207EA8" w:rsidP="00207EA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207EA8" w:rsidP="00822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Obrońcę z urzędu w toku karnego postępowania sądowego może oskarżonemu wyznaczyć: </w:t>
      </w:r>
    </w:p>
    <w:p w:rsidR="00E27700" w:rsidRPr="00207EA8" w:rsidRDefault="00E27700" w:rsidP="00207EA8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prezes sądu, sąd lub referendarz sądowy; </w:t>
      </w:r>
    </w:p>
    <w:p w:rsidR="00E27700" w:rsidRPr="00207EA8" w:rsidRDefault="00E27700" w:rsidP="00207EA8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 xml:space="preserve">Sąd lub prokurator; </w:t>
      </w:r>
    </w:p>
    <w:p w:rsidR="00E27700" w:rsidRDefault="00E27700" w:rsidP="00207EA8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207EA8">
        <w:rPr>
          <w:rFonts w:ascii="Times New Roman" w:hAnsi="Times New Roman" w:cs="Times New Roman"/>
          <w:sz w:val="24"/>
          <w:szCs w:val="24"/>
        </w:rPr>
        <w:t>kierownik sekretariatu wydziału karnego</w:t>
      </w:r>
      <w:r w:rsidR="00207EA8">
        <w:rPr>
          <w:rFonts w:ascii="Times New Roman" w:hAnsi="Times New Roman" w:cs="Times New Roman"/>
          <w:sz w:val="24"/>
          <w:szCs w:val="24"/>
        </w:rPr>
        <w:t>.</w:t>
      </w:r>
    </w:p>
    <w:p w:rsidR="00207EA8" w:rsidRPr="00207EA8" w:rsidRDefault="00207EA8" w:rsidP="00207EA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E27700" w:rsidRDefault="00207EA8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30</w:t>
      </w:r>
      <w:r w:rsidR="00E27700" w:rsidRPr="00E27700">
        <w:rPr>
          <w:rFonts w:ascii="Times New Roman" w:hAnsi="Times New Roman" w:cs="Times New Roman"/>
          <w:b/>
          <w:sz w:val="24"/>
          <w:szCs w:val="24"/>
        </w:rPr>
        <w:t xml:space="preserve">. Kodeks karny nie wymienia w wykazie kar: </w:t>
      </w:r>
    </w:p>
    <w:p w:rsidR="00E27700" w:rsidRPr="00A64DEE" w:rsidRDefault="00E27700" w:rsidP="00A64DEE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kary ograniczenia wolności;</w:t>
      </w:r>
    </w:p>
    <w:p w:rsidR="00E27700" w:rsidRPr="00A64DEE" w:rsidRDefault="00E27700" w:rsidP="00A64DEE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kary aresztu; </w:t>
      </w:r>
    </w:p>
    <w:p w:rsidR="00E27700" w:rsidRDefault="00E27700" w:rsidP="00A64DEE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kary dożywotniego pozbawienia wolności</w:t>
      </w:r>
      <w:r w:rsidR="00A64DEE" w:rsidRPr="00A64DEE">
        <w:rPr>
          <w:rFonts w:ascii="Times New Roman" w:hAnsi="Times New Roman" w:cs="Times New Roman"/>
          <w:sz w:val="24"/>
          <w:szCs w:val="24"/>
        </w:rPr>
        <w:t>.</w:t>
      </w:r>
    </w:p>
    <w:p w:rsidR="00A64DEE" w:rsidRPr="00A64DEE" w:rsidRDefault="00A64DEE" w:rsidP="00A64D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F201BB" w:rsidRDefault="00A64DEE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>. Uzasadnienie wyroku w sprawie karnej przed sądem rejonowym:</w:t>
      </w:r>
    </w:p>
    <w:p w:rsidR="00E27700" w:rsidRPr="00A64DEE" w:rsidRDefault="00E27700" w:rsidP="00A64DEE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sporządzane jest do każdego wydanego wyroku; </w:t>
      </w:r>
    </w:p>
    <w:p w:rsidR="00E27700" w:rsidRPr="00A64DEE" w:rsidRDefault="00E27700" w:rsidP="00A64DEE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sporządzane jest wyłącznie na wniosek uprawnionej strony; </w:t>
      </w:r>
    </w:p>
    <w:p w:rsidR="00E27700" w:rsidRDefault="00E27700" w:rsidP="00A64DEE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sporządzane jest, gdy wniosek złoży strona przegrywająca sprawę</w:t>
      </w:r>
      <w:r w:rsidR="00A64DEE" w:rsidRPr="00A64DEE">
        <w:rPr>
          <w:rFonts w:ascii="Times New Roman" w:hAnsi="Times New Roman" w:cs="Times New Roman"/>
          <w:sz w:val="24"/>
          <w:szCs w:val="24"/>
        </w:rPr>
        <w:t>.</w:t>
      </w:r>
    </w:p>
    <w:p w:rsidR="00A64DEE" w:rsidRPr="00A64DEE" w:rsidRDefault="00A64DEE" w:rsidP="00A64DE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F201BB" w:rsidRDefault="00A64DEE" w:rsidP="00822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32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. Nie można wykonać kary grzywny orzeczonej za przestępstwo, jeżeli od uprawomocnienia się wyroku skazującego upłynęło lat: </w:t>
      </w:r>
    </w:p>
    <w:p w:rsidR="00E27700" w:rsidRPr="00A64DEE" w:rsidRDefault="00E27700" w:rsidP="00A64DEE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3</w:t>
      </w:r>
      <w:r w:rsidR="00C541AB">
        <w:rPr>
          <w:rFonts w:ascii="Times New Roman" w:hAnsi="Times New Roman" w:cs="Times New Roman"/>
          <w:sz w:val="24"/>
          <w:szCs w:val="24"/>
        </w:rPr>
        <w:t>;</w:t>
      </w:r>
      <w:r w:rsidRPr="00A64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A64DEE" w:rsidRDefault="00E27700" w:rsidP="00A64DEE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5</w:t>
      </w:r>
      <w:r w:rsidR="00C541AB">
        <w:rPr>
          <w:rFonts w:ascii="Times New Roman" w:hAnsi="Times New Roman" w:cs="Times New Roman"/>
          <w:sz w:val="24"/>
          <w:szCs w:val="24"/>
        </w:rPr>
        <w:t>;</w:t>
      </w:r>
      <w:r w:rsidRPr="00A64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DEE" w:rsidRDefault="00E27700" w:rsidP="00A64DEE">
      <w:pPr>
        <w:pStyle w:val="Akapitzlist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>10</w:t>
      </w:r>
      <w:r w:rsidR="00A64DEE">
        <w:rPr>
          <w:rFonts w:ascii="Times New Roman" w:hAnsi="Times New Roman" w:cs="Times New Roman"/>
          <w:sz w:val="24"/>
          <w:szCs w:val="24"/>
        </w:rPr>
        <w:t>.</w:t>
      </w:r>
    </w:p>
    <w:p w:rsidR="00E27700" w:rsidRPr="00A64DEE" w:rsidRDefault="00E27700" w:rsidP="00A64DEE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64D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F201BB" w:rsidRDefault="00A64DEE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33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. Termin sporządzenia pisemnego uzasadnienia wyroku wynosi w sprawach karnych: </w:t>
      </w:r>
    </w:p>
    <w:p w:rsidR="00E27700" w:rsidRPr="00CB69FC" w:rsidRDefault="00E27700" w:rsidP="00CB69FC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7 dni</w:t>
      </w:r>
      <w:r w:rsidR="00822347"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CB69FC" w:rsidRDefault="00E27700" w:rsidP="00CB69FC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14 dni</w:t>
      </w:r>
      <w:r w:rsidR="00822347"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Default="00E27700" w:rsidP="00CB69FC">
      <w:pPr>
        <w:pStyle w:val="Akapitzlist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21 dni</w:t>
      </w:r>
      <w:r w:rsidR="00822347">
        <w:rPr>
          <w:rFonts w:ascii="Times New Roman" w:hAnsi="Times New Roman" w:cs="Times New Roman"/>
          <w:sz w:val="24"/>
          <w:szCs w:val="24"/>
        </w:rPr>
        <w:t>.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9FC" w:rsidRDefault="00CB69FC" w:rsidP="00CB69FC">
      <w:pPr>
        <w:rPr>
          <w:rFonts w:ascii="Times New Roman" w:hAnsi="Times New Roman" w:cs="Times New Roman"/>
          <w:sz w:val="24"/>
          <w:szCs w:val="24"/>
        </w:rPr>
      </w:pPr>
    </w:p>
    <w:p w:rsidR="00CB69FC" w:rsidRPr="00CB69FC" w:rsidRDefault="00CB69FC" w:rsidP="00CB69FC">
      <w:pPr>
        <w:rPr>
          <w:rFonts w:ascii="Times New Roman" w:hAnsi="Times New Roman" w:cs="Times New Roman"/>
          <w:sz w:val="24"/>
          <w:szCs w:val="24"/>
        </w:rPr>
      </w:pPr>
    </w:p>
    <w:p w:rsidR="00E27700" w:rsidRPr="00F201BB" w:rsidRDefault="00CB69FC" w:rsidP="00822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34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. Termin sporządzenia pisemnego uzasadnienia wyroku wynosi w sprawach </w:t>
      </w:r>
      <w:r w:rsidR="00DA2044">
        <w:rPr>
          <w:rFonts w:ascii="Times New Roman" w:hAnsi="Times New Roman" w:cs="Times New Roman"/>
          <w:b/>
          <w:sz w:val="24"/>
          <w:szCs w:val="24"/>
        </w:rPr>
        <w:br/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o wykroczenia: </w:t>
      </w:r>
    </w:p>
    <w:p w:rsidR="00E27700" w:rsidRPr="00CB69FC" w:rsidRDefault="00E27700" w:rsidP="00CB69FC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7 dni</w:t>
      </w:r>
      <w:r w:rsidR="00822347"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CB69FC" w:rsidRDefault="00E27700" w:rsidP="00CB69FC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14 dni</w:t>
      </w:r>
      <w:r w:rsidR="00822347">
        <w:rPr>
          <w:rFonts w:ascii="Times New Roman" w:hAnsi="Times New Roman" w:cs="Times New Roman"/>
          <w:sz w:val="24"/>
          <w:szCs w:val="24"/>
        </w:rPr>
        <w:t>;</w:t>
      </w:r>
    </w:p>
    <w:p w:rsidR="00E27700" w:rsidRDefault="00E27700" w:rsidP="00CB69FC">
      <w:pPr>
        <w:pStyle w:val="Akapitzlist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21 dni</w:t>
      </w:r>
      <w:r w:rsidR="00822347">
        <w:rPr>
          <w:rFonts w:ascii="Times New Roman" w:hAnsi="Times New Roman" w:cs="Times New Roman"/>
          <w:sz w:val="24"/>
          <w:szCs w:val="24"/>
        </w:rPr>
        <w:t>.</w:t>
      </w:r>
    </w:p>
    <w:p w:rsidR="00CB69FC" w:rsidRPr="00CB69FC" w:rsidRDefault="00CB69FC" w:rsidP="00CB69F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F201BB" w:rsidRDefault="00CB69FC" w:rsidP="00DA20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. Wobec oskarżonego o prowadzenie pojazdu mechanicznego w stanie nietrzeźwości </w:t>
      </w:r>
      <w:r w:rsidR="00DA2044">
        <w:rPr>
          <w:rFonts w:ascii="Times New Roman" w:hAnsi="Times New Roman" w:cs="Times New Roman"/>
          <w:b/>
          <w:sz w:val="24"/>
          <w:szCs w:val="24"/>
        </w:rPr>
        <w:br/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w ruchu lądowym orzeczenie zakazu prowadzenia pojazdów jest: </w:t>
      </w:r>
    </w:p>
    <w:p w:rsidR="00E27700" w:rsidRPr="00CB69FC" w:rsidRDefault="00E27700" w:rsidP="00CB69F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uzależnione od zawartości alkoholu we krwi</w:t>
      </w:r>
      <w:r w:rsidR="00822347"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CB69FC" w:rsidRDefault="00E27700" w:rsidP="00CB69F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fakultatywne</w:t>
      </w:r>
      <w:r w:rsidR="00822347">
        <w:rPr>
          <w:rFonts w:ascii="Times New Roman" w:hAnsi="Times New Roman" w:cs="Times New Roman"/>
          <w:sz w:val="24"/>
          <w:szCs w:val="24"/>
        </w:rPr>
        <w:t>;</w:t>
      </w:r>
      <w:r w:rsidRPr="00CB69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Default="00E27700" w:rsidP="00CB69FC">
      <w:pPr>
        <w:pStyle w:val="Akapitzlist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B69FC">
        <w:rPr>
          <w:rFonts w:ascii="Times New Roman" w:hAnsi="Times New Roman" w:cs="Times New Roman"/>
          <w:sz w:val="24"/>
          <w:szCs w:val="24"/>
        </w:rPr>
        <w:t>obligatoryjne</w:t>
      </w:r>
      <w:r w:rsidR="00822347">
        <w:rPr>
          <w:rFonts w:ascii="Times New Roman" w:hAnsi="Times New Roman" w:cs="Times New Roman"/>
          <w:sz w:val="24"/>
          <w:szCs w:val="24"/>
        </w:rPr>
        <w:t>.</w:t>
      </w:r>
    </w:p>
    <w:p w:rsidR="00CB69FC" w:rsidRPr="00CB69FC" w:rsidRDefault="00CB69FC" w:rsidP="00CB69F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E27700" w:rsidRPr="00F201BB" w:rsidRDefault="00C541AB" w:rsidP="00E277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E27700" w:rsidRPr="00F201BB">
        <w:rPr>
          <w:rFonts w:ascii="Times New Roman" w:hAnsi="Times New Roman" w:cs="Times New Roman"/>
          <w:b/>
          <w:sz w:val="24"/>
          <w:szCs w:val="24"/>
        </w:rPr>
        <w:t xml:space="preserve">. Od wyroku nakazowego można wnieść: </w:t>
      </w:r>
    </w:p>
    <w:p w:rsidR="00E27700" w:rsidRPr="00C541AB" w:rsidRDefault="00E27700" w:rsidP="00C541AB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apelację</w:t>
      </w:r>
      <w:r w:rsidR="00C541AB">
        <w:rPr>
          <w:rFonts w:ascii="Times New Roman" w:hAnsi="Times New Roman" w:cs="Times New Roman"/>
          <w:sz w:val="24"/>
          <w:szCs w:val="24"/>
        </w:rPr>
        <w:t>;</w:t>
      </w:r>
      <w:r w:rsidRPr="00C5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C541AB" w:rsidRDefault="00E27700" w:rsidP="00C541AB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sprzeciw</w:t>
      </w:r>
      <w:r w:rsidR="00C541AB">
        <w:rPr>
          <w:rFonts w:ascii="Times New Roman" w:hAnsi="Times New Roman" w:cs="Times New Roman"/>
          <w:sz w:val="24"/>
          <w:szCs w:val="24"/>
        </w:rPr>
        <w:t>;</w:t>
      </w:r>
      <w:r w:rsidRPr="00C5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700" w:rsidRPr="00C541AB" w:rsidRDefault="00E27700" w:rsidP="00C541AB">
      <w:pPr>
        <w:pStyle w:val="Akapitzlist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C541AB">
        <w:rPr>
          <w:rFonts w:ascii="Times New Roman" w:hAnsi="Times New Roman" w:cs="Times New Roman"/>
          <w:sz w:val="24"/>
          <w:szCs w:val="24"/>
        </w:rPr>
        <w:t>zażalenie</w:t>
      </w:r>
      <w:r w:rsidR="00C541AB">
        <w:rPr>
          <w:rFonts w:ascii="Times New Roman" w:hAnsi="Times New Roman" w:cs="Times New Roman"/>
          <w:sz w:val="24"/>
          <w:szCs w:val="24"/>
        </w:rPr>
        <w:t>.</w:t>
      </w:r>
    </w:p>
    <w:p w:rsidR="00E27700" w:rsidRPr="00DB026F" w:rsidRDefault="00E27700" w:rsidP="00E2770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Default="00CE64A9" w:rsidP="001721D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64A9" w:rsidRDefault="00CE64A9" w:rsidP="001721D0">
      <w:pPr>
        <w:spacing w:after="16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26F" w:rsidRDefault="00DB026F" w:rsidP="001721D0">
      <w:pPr>
        <w:spacing w:after="160" w:line="360" w:lineRule="auto"/>
        <w:jc w:val="both"/>
        <w:rPr>
          <w:rFonts w:ascii="Times New Roman" w:hAnsi="Times New Roman" w:cs="Times New Roman"/>
        </w:rPr>
      </w:pPr>
    </w:p>
    <w:p w:rsidR="00F167D3" w:rsidRDefault="00F167D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1721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E34A1F">
      <w:pPr>
        <w:pStyle w:val="Bezodstpw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5F6883" w:rsidRDefault="005F6883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67D3" w:rsidRDefault="00F167D3" w:rsidP="00CE64A9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3048" w:rsidRDefault="002A3048"/>
    <w:sectPr w:rsidR="002A3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7BD3"/>
    <w:multiLevelType w:val="hybridMultilevel"/>
    <w:tmpl w:val="4A9EFD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4260D"/>
    <w:multiLevelType w:val="hybridMultilevel"/>
    <w:tmpl w:val="DB6C67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50D6"/>
    <w:multiLevelType w:val="hybridMultilevel"/>
    <w:tmpl w:val="9006A0D4"/>
    <w:lvl w:ilvl="0" w:tplc="3C70E38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6B16"/>
    <w:multiLevelType w:val="hybridMultilevel"/>
    <w:tmpl w:val="45B234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4591C"/>
    <w:multiLevelType w:val="hybridMultilevel"/>
    <w:tmpl w:val="57503412"/>
    <w:lvl w:ilvl="0" w:tplc="B01CA1E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EA17322"/>
    <w:multiLevelType w:val="hybridMultilevel"/>
    <w:tmpl w:val="230CE280"/>
    <w:lvl w:ilvl="0" w:tplc="A38CA1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24F1D37"/>
    <w:multiLevelType w:val="hybridMultilevel"/>
    <w:tmpl w:val="1D9A1F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B53EF"/>
    <w:multiLevelType w:val="hybridMultilevel"/>
    <w:tmpl w:val="03EE1DD4"/>
    <w:lvl w:ilvl="0" w:tplc="7B06F8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697322"/>
    <w:multiLevelType w:val="hybridMultilevel"/>
    <w:tmpl w:val="8EDABC84"/>
    <w:lvl w:ilvl="0" w:tplc="3BCA44E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6F86581"/>
    <w:multiLevelType w:val="hybridMultilevel"/>
    <w:tmpl w:val="BBEAB3A8"/>
    <w:lvl w:ilvl="0" w:tplc="A37A03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4CED"/>
    <w:multiLevelType w:val="hybridMultilevel"/>
    <w:tmpl w:val="C4F45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B0ED7"/>
    <w:multiLevelType w:val="hybridMultilevel"/>
    <w:tmpl w:val="1C38F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96A46"/>
    <w:multiLevelType w:val="hybridMultilevel"/>
    <w:tmpl w:val="242CF4EA"/>
    <w:lvl w:ilvl="0" w:tplc="E186657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21A7F47"/>
    <w:multiLevelType w:val="hybridMultilevel"/>
    <w:tmpl w:val="151C21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47A40"/>
    <w:multiLevelType w:val="hybridMultilevel"/>
    <w:tmpl w:val="4D366EDA"/>
    <w:lvl w:ilvl="0" w:tplc="3D240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27C15678"/>
    <w:multiLevelType w:val="hybridMultilevel"/>
    <w:tmpl w:val="F7229F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255EE"/>
    <w:multiLevelType w:val="hybridMultilevel"/>
    <w:tmpl w:val="AECC6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727CA"/>
    <w:multiLevelType w:val="hybridMultilevel"/>
    <w:tmpl w:val="FCDC37D8"/>
    <w:lvl w:ilvl="0" w:tplc="26EA220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7FF781F"/>
    <w:multiLevelType w:val="hybridMultilevel"/>
    <w:tmpl w:val="27E029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80335"/>
    <w:multiLevelType w:val="hybridMultilevel"/>
    <w:tmpl w:val="80B64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C0330"/>
    <w:multiLevelType w:val="hybridMultilevel"/>
    <w:tmpl w:val="102A8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44AFE"/>
    <w:multiLevelType w:val="hybridMultilevel"/>
    <w:tmpl w:val="43CAECAC"/>
    <w:lvl w:ilvl="0" w:tplc="D5F6C5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601D9B"/>
    <w:multiLevelType w:val="hybridMultilevel"/>
    <w:tmpl w:val="E00601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96D87"/>
    <w:multiLevelType w:val="hybridMultilevel"/>
    <w:tmpl w:val="55B20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720430"/>
    <w:multiLevelType w:val="hybridMultilevel"/>
    <w:tmpl w:val="8DF8F9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31F13"/>
    <w:multiLevelType w:val="hybridMultilevel"/>
    <w:tmpl w:val="C0FE5F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426FF"/>
    <w:multiLevelType w:val="hybridMultilevel"/>
    <w:tmpl w:val="7D6C16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8664C"/>
    <w:multiLevelType w:val="hybridMultilevel"/>
    <w:tmpl w:val="329ABE74"/>
    <w:lvl w:ilvl="0" w:tplc="89A2909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59EA28F1"/>
    <w:multiLevelType w:val="hybridMultilevel"/>
    <w:tmpl w:val="C0B8F5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37356A"/>
    <w:multiLevelType w:val="hybridMultilevel"/>
    <w:tmpl w:val="E3CEE4CA"/>
    <w:lvl w:ilvl="0" w:tplc="F35A571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6A0E6D22"/>
    <w:multiLevelType w:val="hybridMultilevel"/>
    <w:tmpl w:val="1D70C8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37E34"/>
    <w:multiLevelType w:val="hybridMultilevel"/>
    <w:tmpl w:val="36BACF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2DE"/>
    <w:multiLevelType w:val="hybridMultilevel"/>
    <w:tmpl w:val="F5EAD1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95462"/>
    <w:multiLevelType w:val="hybridMultilevel"/>
    <w:tmpl w:val="1152E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F48FB"/>
    <w:multiLevelType w:val="hybridMultilevel"/>
    <w:tmpl w:val="01F809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CD6585"/>
    <w:multiLevelType w:val="hybridMultilevel"/>
    <w:tmpl w:val="E4CC0FE0"/>
    <w:lvl w:ilvl="0" w:tplc="D86C5C7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33F14EF"/>
    <w:multiLevelType w:val="hybridMultilevel"/>
    <w:tmpl w:val="1090BB48"/>
    <w:lvl w:ilvl="0" w:tplc="DE0E52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4827B64"/>
    <w:multiLevelType w:val="hybridMultilevel"/>
    <w:tmpl w:val="5D200E2C"/>
    <w:lvl w:ilvl="0" w:tplc="A37A03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8" w15:restartNumberingAfterBreak="0">
    <w:nsid w:val="75B85E5E"/>
    <w:multiLevelType w:val="hybridMultilevel"/>
    <w:tmpl w:val="021A15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23EE4"/>
    <w:multiLevelType w:val="hybridMultilevel"/>
    <w:tmpl w:val="C6DA29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542"/>
    <w:multiLevelType w:val="hybridMultilevel"/>
    <w:tmpl w:val="E118F0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1"/>
  </w:num>
  <w:num w:numId="4">
    <w:abstractNumId w:val="7"/>
  </w:num>
  <w:num w:numId="5">
    <w:abstractNumId w:val="22"/>
  </w:num>
  <w:num w:numId="6">
    <w:abstractNumId w:val="14"/>
  </w:num>
  <w:num w:numId="7">
    <w:abstractNumId w:val="30"/>
  </w:num>
  <w:num w:numId="8">
    <w:abstractNumId w:val="8"/>
  </w:num>
  <w:num w:numId="9">
    <w:abstractNumId w:val="25"/>
  </w:num>
  <w:num w:numId="10">
    <w:abstractNumId w:val="17"/>
  </w:num>
  <w:num w:numId="11">
    <w:abstractNumId w:val="1"/>
  </w:num>
  <w:num w:numId="12">
    <w:abstractNumId w:val="27"/>
  </w:num>
  <w:num w:numId="13">
    <w:abstractNumId w:val="19"/>
  </w:num>
  <w:num w:numId="14">
    <w:abstractNumId w:val="5"/>
  </w:num>
  <w:num w:numId="15">
    <w:abstractNumId w:val="40"/>
  </w:num>
  <w:num w:numId="16">
    <w:abstractNumId w:val="4"/>
  </w:num>
  <w:num w:numId="17">
    <w:abstractNumId w:val="24"/>
  </w:num>
  <w:num w:numId="18">
    <w:abstractNumId w:val="35"/>
  </w:num>
  <w:num w:numId="19">
    <w:abstractNumId w:val="16"/>
  </w:num>
  <w:num w:numId="20">
    <w:abstractNumId w:val="29"/>
  </w:num>
  <w:num w:numId="21">
    <w:abstractNumId w:val="15"/>
  </w:num>
  <w:num w:numId="22">
    <w:abstractNumId w:val="36"/>
  </w:num>
  <w:num w:numId="23">
    <w:abstractNumId w:val="23"/>
  </w:num>
  <w:num w:numId="24">
    <w:abstractNumId w:val="12"/>
  </w:num>
  <w:num w:numId="25">
    <w:abstractNumId w:val="32"/>
  </w:num>
  <w:num w:numId="26">
    <w:abstractNumId w:val="28"/>
  </w:num>
  <w:num w:numId="27">
    <w:abstractNumId w:val="39"/>
  </w:num>
  <w:num w:numId="28">
    <w:abstractNumId w:val="38"/>
  </w:num>
  <w:num w:numId="29">
    <w:abstractNumId w:val="18"/>
  </w:num>
  <w:num w:numId="30">
    <w:abstractNumId w:val="37"/>
  </w:num>
  <w:num w:numId="31">
    <w:abstractNumId w:val="9"/>
  </w:num>
  <w:num w:numId="32">
    <w:abstractNumId w:val="31"/>
  </w:num>
  <w:num w:numId="33">
    <w:abstractNumId w:val="0"/>
  </w:num>
  <w:num w:numId="34">
    <w:abstractNumId w:val="13"/>
  </w:num>
  <w:num w:numId="35">
    <w:abstractNumId w:val="20"/>
  </w:num>
  <w:num w:numId="36">
    <w:abstractNumId w:val="34"/>
  </w:num>
  <w:num w:numId="37">
    <w:abstractNumId w:val="26"/>
  </w:num>
  <w:num w:numId="38">
    <w:abstractNumId w:val="6"/>
  </w:num>
  <w:num w:numId="39">
    <w:abstractNumId w:val="10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4A9"/>
    <w:rsid w:val="00123BC1"/>
    <w:rsid w:val="001721D0"/>
    <w:rsid w:val="001D41A7"/>
    <w:rsid w:val="00207EA8"/>
    <w:rsid w:val="002A3048"/>
    <w:rsid w:val="003B1006"/>
    <w:rsid w:val="005F6883"/>
    <w:rsid w:val="006A7EAF"/>
    <w:rsid w:val="00822347"/>
    <w:rsid w:val="00886926"/>
    <w:rsid w:val="0095793D"/>
    <w:rsid w:val="009D4DF6"/>
    <w:rsid w:val="00A06404"/>
    <w:rsid w:val="00A64DEE"/>
    <w:rsid w:val="00AE3AD9"/>
    <w:rsid w:val="00BB11D2"/>
    <w:rsid w:val="00C541AB"/>
    <w:rsid w:val="00CB69FC"/>
    <w:rsid w:val="00CE64A9"/>
    <w:rsid w:val="00DA2044"/>
    <w:rsid w:val="00DB026F"/>
    <w:rsid w:val="00E27700"/>
    <w:rsid w:val="00E34306"/>
    <w:rsid w:val="00E34A1F"/>
    <w:rsid w:val="00E84151"/>
    <w:rsid w:val="00F167D3"/>
    <w:rsid w:val="00F2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8B32"/>
  <w15:chartTrackingRefBased/>
  <w15:docId w15:val="{B7633027-4383-4B52-8F92-06209A9E7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64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E6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E64A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E64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A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09347-A294-4763-AD5C-2C048AA55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1231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Fórmankiewicz Agnieszka</dc:creator>
  <cp:keywords/>
  <dc:description/>
  <cp:lastModifiedBy>Tyl Patrycja</cp:lastModifiedBy>
  <cp:revision>3</cp:revision>
  <cp:lastPrinted>2025-03-13T10:43:00Z</cp:lastPrinted>
  <dcterms:created xsi:type="dcterms:W3CDTF">2025-03-13T10:22:00Z</dcterms:created>
  <dcterms:modified xsi:type="dcterms:W3CDTF">2025-03-13T10:45:00Z</dcterms:modified>
</cp:coreProperties>
</file>