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10153" w14:textId="77777777" w:rsidR="001C01F2" w:rsidRPr="009B52D1" w:rsidRDefault="001C01F2" w:rsidP="001C01F2">
      <w:pPr>
        <w:spacing w:after="0"/>
        <w:ind w:left="0" w:right="0" w:firstLine="142"/>
        <w:rPr>
          <w:rFonts w:eastAsia="Times New Roman" w:cs="Times New Roman"/>
          <w:kern w:val="0"/>
          <w:lang w:eastAsia="pl-PL"/>
          <w14:ligatures w14:val="none"/>
        </w:rPr>
      </w:pPr>
      <w:r w:rsidRPr="009B52D1">
        <w:rPr>
          <w:rFonts w:eastAsia="Times New Roman" w:cs="Times New Roman"/>
          <w:kern w:val="0"/>
          <w:lang w:eastAsia="pl-PL"/>
          <w14:ligatures w14:val="none"/>
        </w:rPr>
        <w:t>Pytania z zakresu prawa cywilnego oraz postępowania cywilnego</w:t>
      </w:r>
    </w:p>
    <w:p w14:paraId="737C7E14" w14:textId="77777777" w:rsidR="001C01F2" w:rsidRPr="009B52D1" w:rsidRDefault="001C01F2" w:rsidP="001C01F2">
      <w:pPr>
        <w:spacing w:after="0"/>
        <w:ind w:left="0" w:right="0" w:firstLine="142"/>
        <w:rPr>
          <w:rFonts w:eastAsia="Times New Roman" w:cs="Times New Roman"/>
          <w:kern w:val="0"/>
          <w:lang w:eastAsia="pl-PL"/>
          <w14:ligatures w14:val="none"/>
        </w:rPr>
      </w:pPr>
    </w:p>
    <w:p w14:paraId="09FDB690" w14:textId="77777777" w:rsidR="001C01F2" w:rsidRPr="009B52D1" w:rsidRDefault="001C01F2" w:rsidP="001C01F2">
      <w:pPr>
        <w:numPr>
          <w:ilvl w:val="0"/>
          <w:numId w:val="6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Ograniczoną zdolność do czynności prawnych ma osoba, która ukończyła:</w:t>
      </w:r>
    </w:p>
    <w:p w14:paraId="65515800" w14:textId="77777777" w:rsidR="001C01F2" w:rsidRPr="009B52D1" w:rsidRDefault="001C01F2" w:rsidP="001C01F2">
      <w:pPr>
        <w:numPr>
          <w:ilvl w:val="0"/>
          <w:numId w:val="7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13 lat;</w:t>
      </w:r>
    </w:p>
    <w:p w14:paraId="7CA9DFD9" w14:textId="77777777" w:rsidR="001C01F2" w:rsidRPr="009B52D1" w:rsidRDefault="001C01F2" w:rsidP="001C01F2">
      <w:pPr>
        <w:numPr>
          <w:ilvl w:val="0"/>
          <w:numId w:val="7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8 lat;</w:t>
      </w:r>
    </w:p>
    <w:p w14:paraId="1BFD7E99" w14:textId="77777777" w:rsidR="001C01F2" w:rsidRPr="009B52D1" w:rsidRDefault="001C01F2" w:rsidP="001C01F2">
      <w:pPr>
        <w:numPr>
          <w:ilvl w:val="0"/>
          <w:numId w:val="7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10 lat.</w:t>
      </w:r>
    </w:p>
    <w:p w14:paraId="66EE634F" w14:textId="77777777" w:rsidR="001C01F2" w:rsidRPr="009B52D1" w:rsidRDefault="001C01F2" w:rsidP="001C01F2">
      <w:pPr>
        <w:spacing w:after="200"/>
        <w:ind w:left="1080" w:right="0" w:hanging="436"/>
        <w:contextualSpacing/>
        <w:rPr>
          <w:rFonts w:eastAsia="Calibri" w:cs="Times New Roman"/>
          <w:kern w:val="0"/>
          <w14:ligatures w14:val="none"/>
        </w:rPr>
      </w:pPr>
    </w:p>
    <w:p w14:paraId="6264C296" w14:textId="77777777" w:rsidR="001C01F2" w:rsidRPr="009B52D1" w:rsidRDefault="001C01F2" w:rsidP="001C01F2">
      <w:pPr>
        <w:numPr>
          <w:ilvl w:val="0"/>
          <w:numId w:val="6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Ważność umowy, która została zawarta przez osobę ograniczoną w zdolności do czynności prawnych bez wymaganej zgody jej przedstawiciela ustawowego:</w:t>
      </w:r>
    </w:p>
    <w:p w14:paraId="4E89DC1E" w14:textId="77777777" w:rsidR="001C01F2" w:rsidRPr="009B52D1" w:rsidRDefault="001C01F2" w:rsidP="001C01F2">
      <w:pPr>
        <w:numPr>
          <w:ilvl w:val="0"/>
          <w:numId w:val="8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zależy od potwierdzenia umowy przez przedstawiciela ustawowego tej osoby ograniczonej w zdolności do czynności prawnej;</w:t>
      </w:r>
    </w:p>
    <w:p w14:paraId="19CE4CC2" w14:textId="77777777" w:rsidR="001C01F2" w:rsidRPr="009B52D1" w:rsidRDefault="001C01F2" w:rsidP="001C01F2">
      <w:pPr>
        <w:numPr>
          <w:ilvl w:val="0"/>
          <w:numId w:val="8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nie zależy od potwierdzenia przez jakąkolwiek osobę lub instytucję;</w:t>
      </w:r>
    </w:p>
    <w:p w14:paraId="1A636A7F" w14:textId="77777777" w:rsidR="001C01F2" w:rsidRPr="009B52D1" w:rsidRDefault="001C01F2" w:rsidP="001C01F2">
      <w:pPr>
        <w:numPr>
          <w:ilvl w:val="0"/>
          <w:numId w:val="8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zależy od potwierdzenia przez drugą stronę umowy.</w:t>
      </w:r>
    </w:p>
    <w:p w14:paraId="72F95091" w14:textId="77777777" w:rsidR="001C01F2" w:rsidRPr="009B52D1" w:rsidRDefault="001C01F2" w:rsidP="001C01F2">
      <w:pPr>
        <w:spacing w:after="200"/>
        <w:ind w:left="1080" w:right="0" w:hanging="436"/>
        <w:contextualSpacing/>
        <w:rPr>
          <w:rFonts w:eastAsia="Calibri" w:cs="Times New Roman"/>
          <w:kern w:val="0"/>
          <w14:ligatures w14:val="none"/>
        </w:rPr>
      </w:pPr>
    </w:p>
    <w:p w14:paraId="6194C0FC" w14:textId="77777777" w:rsidR="001C01F2" w:rsidRPr="009B52D1" w:rsidRDefault="001C01F2" w:rsidP="001C01F2">
      <w:pPr>
        <w:numPr>
          <w:ilvl w:val="0"/>
          <w:numId w:val="6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W postępowaniu cywilnym o zapłatę przeciwko pozwanemu konsumentowi, po dniu 09 lipca 2018 r. sąd bierze pod uwagę przedawnienie:</w:t>
      </w:r>
    </w:p>
    <w:p w14:paraId="22BC7C8F" w14:textId="77777777" w:rsidR="001C01F2" w:rsidRPr="009B52D1" w:rsidRDefault="001C01F2" w:rsidP="001C01F2">
      <w:pPr>
        <w:numPr>
          <w:ilvl w:val="0"/>
          <w:numId w:val="9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na zarzut pozwanego;</w:t>
      </w:r>
    </w:p>
    <w:p w14:paraId="34033AD7" w14:textId="77777777" w:rsidR="001C01F2" w:rsidRPr="009B52D1" w:rsidRDefault="001C01F2" w:rsidP="001C01F2">
      <w:pPr>
        <w:numPr>
          <w:ilvl w:val="0"/>
          <w:numId w:val="9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na zarzut powoda;</w:t>
      </w:r>
    </w:p>
    <w:p w14:paraId="7AF5091E" w14:textId="77777777" w:rsidR="001C01F2" w:rsidRPr="009B52D1" w:rsidRDefault="001C01F2" w:rsidP="001C01F2">
      <w:pPr>
        <w:numPr>
          <w:ilvl w:val="0"/>
          <w:numId w:val="9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z urzędu.</w:t>
      </w:r>
    </w:p>
    <w:p w14:paraId="256BBAE3" w14:textId="77777777" w:rsidR="001C01F2" w:rsidRPr="009B52D1" w:rsidRDefault="001C01F2" w:rsidP="001C01F2">
      <w:pPr>
        <w:spacing w:after="200"/>
        <w:ind w:left="1068" w:right="0" w:hanging="436"/>
        <w:contextualSpacing/>
        <w:rPr>
          <w:rFonts w:eastAsia="Calibri" w:cs="Times New Roman"/>
          <w:kern w:val="0"/>
          <w14:ligatures w14:val="none"/>
        </w:rPr>
      </w:pPr>
    </w:p>
    <w:p w14:paraId="30ED5B07" w14:textId="77777777" w:rsidR="001C01F2" w:rsidRPr="009B52D1" w:rsidRDefault="001C01F2" w:rsidP="001C01F2">
      <w:pPr>
        <w:numPr>
          <w:ilvl w:val="0"/>
          <w:numId w:val="6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Wpis do księgi wieczystej w przypadku ustanowienia hipoteki:</w:t>
      </w:r>
    </w:p>
    <w:p w14:paraId="1CC9D6BD" w14:textId="77777777" w:rsidR="001C01F2" w:rsidRPr="009B52D1" w:rsidRDefault="001C01F2" w:rsidP="001C01F2">
      <w:pPr>
        <w:numPr>
          <w:ilvl w:val="0"/>
          <w:numId w:val="10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ma charakter konstytutywny;</w:t>
      </w:r>
    </w:p>
    <w:p w14:paraId="063FD72C" w14:textId="77777777" w:rsidR="001C01F2" w:rsidRPr="009B52D1" w:rsidRDefault="001C01F2" w:rsidP="001C01F2">
      <w:pPr>
        <w:numPr>
          <w:ilvl w:val="0"/>
          <w:numId w:val="10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ma charakter deklaratoryjny;</w:t>
      </w:r>
    </w:p>
    <w:p w14:paraId="5A2E6389" w14:textId="77777777" w:rsidR="001C01F2" w:rsidRPr="009B52D1" w:rsidRDefault="001C01F2" w:rsidP="001C01F2">
      <w:pPr>
        <w:numPr>
          <w:ilvl w:val="0"/>
          <w:numId w:val="10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nie ma znaczenia dla bytu hipoteki.</w:t>
      </w:r>
    </w:p>
    <w:p w14:paraId="40AD7395" w14:textId="77777777" w:rsidR="001C01F2" w:rsidRPr="009B52D1" w:rsidRDefault="001C01F2" w:rsidP="001C01F2">
      <w:pPr>
        <w:spacing w:after="200"/>
        <w:ind w:left="1080" w:right="0" w:hanging="436"/>
        <w:contextualSpacing/>
        <w:rPr>
          <w:rFonts w:eastAsia="Calibri" w:cs="Times New Roman"/>
          <w:kern w:val="0"/>
          <w14:ligatures w14:val="none"/>
        </w:rPr>
      </w:pPr>
    </w:p>
    <w:p w14:paraId="5937FBC9" w14:textId="77777777" w:rsidR="001C01F2" w:rsidRPr="009B52D1" w:rsidRDefault="001C01F2" w:rsidP="001C01F2">
      <w:pPr>
        <w:numPr>
          <w:ilvl w:val="0"/>
          <w:numId w:val="6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Ograniczonym prawem rzeczowym jest:</w:t>
      </w:r>
    </w:p>
    <w:p w14:paraId="53C333FF" w14:textId="77777777" w:rsidR="001C01F2" w:rsidRPr="009B52D1" w:rsidRDefault="001C01F2" w:rsidP="001C01F2">
      <w:pPr>
        <w:numPr>
          <w:ilvl w:val="0"/>
          <w:numId w:val="11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dożywocie;</w:t>
      </w:r>
    </w:p>
    <w:p w14:paraId="02AE9FA6" w14:textId="77777777" w:rsidR="001C01F2" w:rsidRPr="009B52D1" w:rsidRDefault="001C01F2" w:rsidP="001C01F2">
      <w:pPr>
        <w:numPr>
          <w:ilvl w:val="0"/>
          <w:numId w:val="11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dzierżawa;</w:t>
      </w:r>
    </w:p>
    <w:p w14:paraId="002F46E6" w14:textId="77777777" w:rsidR="001C01F2" w:rsidRPr="009B52D1" w:rsidRDefault="001C01F2" w:rsidP="001C01F2">
      <w:pPr>
        <w:numPr>
          <w:ilvl w:val="0"/>
          <w:numId w:val="11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użytkowanie.</w:t>
      </w:r>
    </w:p>
    <w:p w14:paraId="30BFA3C0" w14:textId="77777777" w:rsidR="001C01F2" w:rsidRPr="009B52D1" w:rsidRDefault="001C01F2" w:rsidP="001C01F2">
      <w:pPr>
        <w:spacing w:after="200"/>
        <w:ind w:left="1080" w:right="0" w:hanging="436"/>
        <w:contextualSpacing/>
        <w:rPr>
          <w:rFonts w:eastAsia="Calibri" w:cs="Times New Roman"/>
          <w:kern w:val="0"/>
          <w14:ligatures w14:val="none"/>
        </w:rPr>
      </w:pPr>
    </w:p>
    <w:p w14:paraId="42F9BE15" w14:textId="77777777" w:rsidR="001C01F2" w:rsidRPr="009B52D1" w:rsidRDefault="001C01F2" w:rsidP="001C01F2">
      <w:pPr>
        <w:numPr>
          <w:ilvl w:val="0"/>
          <w:numId w:val="6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Ustanowienie ograniczonego prawa rzeczowego na nieruchomości;</w:t>
      </w:r>
    </w:p>
    <w:p w14:paraId="01FE0433" w14:textId="77777777" w:rsidR="001C01F2" w:rsidRPr="009B52D1" w:rsidRDefault="001C01F2" w:rsidP="001C01F2">
      <w:pPr>
        <w:numPr>
          <w:ilvl w:val="0"/>
          <w:numId w:val="12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wymaga formy aktu notarialnego dla oświadczeń obu stron i nie może być zawarte ani pod warunkiem ani z zastrzeżeniem terminu;</w:t>
      </w:r>
    </w:p>
    <w:p w14:paraId="08F3C078" w14:textId="77777777" w:rsidR="001C01F2" w:rsidRPr="009B52D1" w:rsidRDefault="001C01F2" w:rsidP="001C01F2">
      <w:pPr>
        <w:numPr>
          <w:ilvl w:val="0"/>
          <w:numId w:val="12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wymaga formy aktu notarialnego dla oświadczeń obu stron i może być zawarte pod warunkiem lub zastrzeżeniem terminu;</w:t>
      </w:r>
    </w:p>
    <w:p w14:paraId="0A2B67F5" w14:textId="77777777" w:rsidR="001C01F2" w:rsidRPr="009B52D1" w:rsidRDefault="001C01F2" w:rsidP="001C01F2">
      <w:pPr>
        <w:numPr>
          <w:ilvl w:val="0"/>
          <w:numId w:val="12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wymaga formy aktu notarialnego tylko dla oświadczenia właściciela, który ustanawia prawo i może być zawarte pod warunkiem lub z zastrzeżeniem terminu.</w:t>
      </w:r>
    </w:p>
    <w:p w14:paraId="3E3FDA7E" w14:textId="77777777" w:rsidR="001C01F2" w:rsidRPr="009B52D1" w:rsidRDefault="001C01F2" w:rsidP="001C01F2">
      <w:pPr>
        <w:spacing w:after="200"/>
        <w:ind w:left="1080" w:right="0" w:hanging="436"/>
        <w:contextualSpacing/>
        <w:rPr>
          <w:rFonts w:eastAsia="Calibri" w:cs="Times New Roman"/>
          <w:kern w:val="0"/>
          <w14:ligatures w14:val="none"/>
        </w:rPr>
      </w:pPr>
    </w:p>
    <w:p w14:paraId="32ADDCB5" w14:textId="77777777" w:rsidR="001C01F2" w:rsidRPr="009B52D1" w:rsidRDefault="001C01F2" w:rsidP="001C01F2">
      <w:pPr>
        <w:numPr>
          <w:ilvl w:val="0"/>
          <w:numId w:val="6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Roszczenia windykacyjne i negatoryjne właściciela nieruchomości co do tej nieruchomości przeciwko osobie trzeciej:</w:t>
      </w:r>
    </w:p>
    <w:p w14:paraId="52F8E2E5" w14:textId="77777777" w:rsidR="001C01F2" w:rsidRPr="009B52D1" w:rsidRDefault="001C01F2" w:rsidP="001C01F2">
      <w:pPr>
        <w:numPr>
          <w:ilvl w:val="0"/>
          <w:numId w:val="13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nie ulegają przedawnieniu;</w:t>
      </w:r>
    </w:p>
    <w:p w14:paraId="31254E8C" w14:textId="77777777" w:rsidR="001C01F2" w:rsidRPr="009B52D1" w:rsidRDefault="001C01F2" w:rsidP="001C01F2">
      <w:pPr>
        <w:numPr>
          <w:ilvl w:val="0"/>
          <w:numId w:val="13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przedawniają się z upływem lat 3;</w:t>
      </w:r>
    </w:p>
    <w:p w14:paraId="7F432526" w14:textId="77777777" w:rsidR="001C01F2" w:rsidRPr="009B52D1" w:rsidRDefault="001C01F2" w:rsidP="001C01F2">
      <w:pPr>
        <w:numPr>
          <w:ilvl w:val="0"/>
          <w:numId w:val="13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przedawniają się z upływem lat 10.</w:t>
      </w:r>
    </w:p>
    <w:p w14:paraId="4DF53045" w14:textId="77777777" w:rsidR="001C01F2" w:rsidRPr="009B52D1" w:rsidRDefault="001C01F2" w:rsidP="001C01F2">
      <w:pPr>
        <w:spacing w:after="200"/>
        <w:ind w:left="1080" w:right="0" w:hanging="436"/>
        <w:contextualSpacing/>
        <w:rPr>
          <w:rFonts w:eastAsia="Calibri" w:cs="Times New Roman"/>
          <w:kern w:val="0"/>
          <w14:ligatures w14:val="none"/>
        </w:rPr>
      </w:pPr>
    </w:p>
    <w:p w14:paraId="52499E82" w14:textId="77777777" w:rsidR="001C01F2" w:rsidRPr="009B52D1" w:rsidRDefault="001C01F2" w:rsidP="001C01F2">
      <w:pPr>
        <w:numPr>
          <w:ilvl w:val="0"/>
          <w:numId w:val="6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lastRenderedPageBreak/>
        <w:t>Przerwanie lub zawieszenie biegu przedawnienia wobec jednego ze   współdłużników solidarnych:</w:t>
      </w:r>
    </w:p>
    <w:p w14:paraId="6D52BA17" w14:textId="77777777" w:rsidR="001C01F2" w:rsidRPr="009B52D1" w:rsidRDefault="001C01F2" w:rsidP="001C01F2">
      <w:pPr>
        <w:numPr>
          <w:ilvl w:val="0"/>
          <w:numId w:val="14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ma skutek wobec współdłużników;</w:t>
      </w:r>
    </w:p>
    <w:p w14:paraId="19B9EE88" w14:textId="77777777" w:rsidR="001C01F2" w:rsidRPr="009B52D1" w:rsidRDefault="001C01F2" w:rsidP="001C01F2">
      <w:pPr>
        <w:numPr>
          <w:ilvl w:val="0"/>
          <w:numId w:val="14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nie ma skutku wobec współdłużników;</w:t>
      </w:r>
    </w:p>
    <w:p w14:paraId="0D0099B9" w14:textId="77777777" w:rsidR="001C01F2" w:rsidRPr="009B52D1" w:rsidRDefault="001C01F2" w:rsidP="001C01F2">
      <w:pPr>
        <w:numPr>
          <w:ilvl w:val="0"/>
          <w:numId w:val="14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ma skutek tylko wobec osób trzecich.</w:t>
      </w:r>
    </w:p>
    <w:p w14:paraId="6B15F82A" w14:textId="77777777" w:rsidR="001C01F2" w:rsidRPr="009B52D1" w:rsidRDefault="001C01F2" w:rsidP="001C01F2">
      <w:pPr>
        <w:spacing w:after="200"/>
        <w:ind w:left="1068" w:right="0" w:hanging="436"/>
        <w:contextualSpacing/>
        <w:rPr>
          <w:rFonts w:eastAsia="Calibri" w:cs="Times New Roman"/>
          <w:kern w:val="0"/>
          <w14:ligatures w14:val="none"/>
        </w:rPr>
      </w:pPr>
    </w:p>
    <w:p w14:paraId="44DE58AC" w14:textId="77777777" w:rsidR="001C01F2" w:rsidRPr="009B52D1" w:rsidRDefault="001C01F2" w:rsidP="001C01F2">
      <w:pPr>
        <w:spacing w:after="200"/>
        <w:ind w:left="1068" w:right="0" w:hanging="436"/>
        <w:contextualSpacing/>
        <w:rPr>
          <w:rFonts w:eastAsia="Calibri" w:cs="Times New Roman"/>
          <w:kern w:val="0"/>
          <w14:ligatures w14:val="none"/>
        </w:rPr>
      </w:pPr>
    </w:p>
    <w:p w14:paraId="20FC8A3D" w14:textId="77777777" w:rsidR="001C01F2" w:rsidRPr="009B52D1" w:rsidRDefault="001C01F2" w:rsidP="001C01F2">
      <w:pPr>
        <w:numPr>
          <w:ilvl w:val="0"/>
          <w:numId w:val="6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Jeżeli kilka osób zaciągnęło zobowiązania dotyczące ich wspólnego mienia, to na podstawie przepisów kodeksu cywilnego zobowiązanie tych osób:</w:t>
      </w:r>
    </w:p>
    <w:p w14:paraId="13501224" w14:textId="77777777" w:rsidR="001C01F2" w:rsidRPr="009B52D1" w:rsidRDefault="001C01F2" w:rsidP="001C01F2">
      <w:pPr>
        <w:numPr>
          <w:ilvl w:val="0"/>
          <w:numId w:val="15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ma charakter solidarny, chyba, że inaczej umówiono się;</w:t>
      </w:r>
    </w:p>
    <w:p w14:paraId="01D4A99A" w14:textId="77777777" w:rsidR="001C01F2" w:rsidRPr="009B52D1" w:rsidRDefault="001C01F2" w:rsidP="001C01F2">
      <w:pPr>
        <w:numPr>
          <w:ilvl w:val="0"/>
          <w:numId w:val="15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 xml:space="preserve">ma charakter in </w:t>
      </w:r>
      <w:proofErr w:type="spellStart"/>
      <w:r w:rsidRPr="009B52D1">
        <w:rPr>
          <w:rFonts w:eastAsia="Calibri" w:cs="Times New Roman"/>
          <w:kern w:val="0"/>
          <w14:ligatures w14:val="none"/>
        </w:rPr>
        <w:t>solidum</w:t>
      </w:r>
      <w:proofErr w:type="spellEnd"/>
      <w:r w:rsidRPr="009B52D1">
        <w:rPr>
          <w:rFonts w:eastAsia="Calibri" w:cs="Times New Roman"/>
          <w:kern w:val="0"/>
          <w14:ligatures w14:val="none"/>
        </w:rPr>
        <w:t>;</w:t>
      </w:r>
    </w:p>
    <w:p w14:paraId="567B271A" w14:textId="77777777" w:rsidR="001C01F2" w:rsidRPr="009B52D1" w:rsidRDefault="001C01F2" w:rsidP="001C01F2">
      <w:pPr>
        <w:numPr>
          <w:ilvl w:val="0"/>
          <w:numId w:val="15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istnieje do wysokości udziałów we współwłasności rzeczy..</w:t>
      </w:r>
    </w:p>
    <w:p w14:paraId="4D97E617" w14:textId="77777777" w:rsidR="001C01F2" w:rsidRPr="009B52D1" w:rsidRDefault="001C01F2" w:rsidP="001C01F2">
      <w:pPr>
        <w:spacing w:after="200"/>
        <w:ind w:left="1080" w:right="0" w:hanging="436"/>
        <w:contextualSpacing/>
        <w:rPr>
          <w:rFonts w:eastAsia="Calibri" w:cs="Times New Roman"/>
          <w:kern w:val="0"/>
          <w14:ligatures w14:val="none"/>
        </w:rPr>
      </w:pPr>
    </w:p>
    <w:p w14:paraId="5762E26F" w14:textId="77777777" w:rsidR="001C01F2" w:rsidRPr="009B52D1" w:rsidRDefault="001C01F2" w:rsidP="001C01F2">
      <w:pPr>
        <w:numPr>
          <w:ilvl w:val="0"/>
          <w:numId w:val="6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Od chwili ustania wspólności majątkowej małżeńskiej, do majątku, który był nią objęty jak również do podziału tego majątku stosuje się odpowiednio przepisy:</w:t>
      </w:r>
    </w:p>
    <w:p w14:paraId="0795B39D" w14:textId="77777777" w:rsidR="001C01F2" w:rsidRPr="009B52D1" w:rsidRDefault="001C01F2" w:rsidP="001C01F2">
      <w:pPr>
        <w:numPr>
          <w:ilvl w:val="0"/>
          <w:numId w:val="16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dotyczące umowy spółki cywilnej;</w:t>
      </w:r>
    </w:p>
    <w:p w14:paraId="1518481C" w14:textId="77777777" w:rsidR="001C01F2" w:rsidRPr="009B52D1" w:rsidRDefault="001C01F2" w:rsidP="001C01F2">
      <w:pPr>
        <w:numPr>
          <w:ilvl w:val="0"/>
          <w:numId w:val="16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dotyczące wspólności łącznej;</w:t>
      </w:r>
    </w:p>
    <w:p w14:paraId="5F9304E1" w14:textId="77777777" w:rsidR="001C01F2" w:rsidRPr="009B52D1" w:rsidRDefault="001C01F2" w:rsidP="001C01F2">
      <w:pPr>
        <w:numPr>
          <w:ilvl w:val="0"/>
          <w:numId w:val="16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dotyczące wspólności majątku spadkowego i o dziale spadku.</w:t>
      </w:r>
    </w:p>
    <w:p w14:paraId="262F1A1C" w14:textId="77777777" w:rsidR="001C01F2" w:rsidRPr="009B52D1" w:rsidRDefault="001C01F2" w:rsidP="001C01F2">
      <w:pPr>
        <w:spacing w:after="200"/>
        <w:ind w:left="1080" w:right="0" w:hanging="436"/>
        <w:contextualSpacing/>
        <w:rPr>
          <w:rFonts w:eastAsia="Calibri" w:cs="Times New Roman"/>
          <w:kern w:val="0"/>
          <w:u w:val="single"/>
          <w14:ligatures w14:val="none"/>
        </w:rPr>
      </w:pPr>
    </w:p>
    <w:p w14:paraId="78096D00" w14:textId="77777777" w:rsidR="001C01F2" w:rsidRPr="009B52D1" w:rsidRDefault="001C01F2" w:rsidP="001C01F2">
      <w:pPr>
        <w:numPr>
          <w:ilvl w:val="0"/>
          <w:numId w:val="6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:u w:val="single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Oświadczenie o odrzuceniu spadku można złożyć w terminie:</w:t>
      </w:r>
    </w:p>
    <w:p w14:paraId="1CA7881F" w14:textId="77777777" w:rsidR="001C01F2" w:rsidRPr="009B52D1" w:rsidRDefault="001C01F2" w:rsidP="001C01F2">
      <w:pPr>
        <w:numPr>
          <w:ilvl w:val="0"/>
          <w:numId w:val="17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6 miesięcy od daty dowiedzenia się przez spadkobiercę o tytule swojego powołania;</w:t>
      </w:r>
    </w:p>
    <w:p w14:paraId="621DCF1F" w14:textId="77777777" w:rsidR="001C01F2" w:rsidRPr="009B52D1" w:rsidRDefault="001C01F2" w:rsidP="001C01F2">
      <w:pPr>
        <w:numPr>
          <w:ilvl w:val="0"/>
          <w:numId w:val="17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:u w:val="single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3 miesięcy od śmierci spadkodawcy;</w:t>
      </w:r>
    </w:p>
    <w:p w14:paraId="2C9FCB81" w14:textId="77777777" w:rsidR="001C01F2" w:rsidRPr="009B52D1" w:rsidRDefault="001C01F2" w:rsidP="001C01F2">
      <w:pPr>
        <w:numPr>
          <w:ilvl w:val="0"/>
          <w:numId w:val="17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1 miesiąca od dnia uprawomocnienia się postanowienia o stwierdzeniu nabycia spadku.</w:t>
      </w:r>
    </w:p>
    <w:p w14:paraId="094ED548" w14:textId="77777777" w:rsidR="001C01F2" w:rsidRPr="009B52D1" w:rsidRDefault="001C01F2" w:rsidP="001C01F2">
      <w:pPr>
        <w:spacing w:after="200"/>
        <w:ind w:left="1080" w:right="0" w:hanging="436"/>
        <w:contextualSpacing/>
        <w:rPr>
          <w:rFonts w:eastAsia="Calibri" w:cs="Times New Roman"/>
          <w:kern w:val="0"/>
          <w14:ligatures w14:val="none"/>
        </w:rPr>
      </w:pPr>
    </w:p>
    <w:p w14:paraId="3058CE39" w14:textId="77777777" w:rsidR="001C01F2" w:rsidRPr="009B52D1" w:rsidRDefault="001C01F2" w:rsidP="001C01F2">
      <w:pPr>
        <w:numPr>
          <w:ilvl w:val="0"/>
          <w:numId w:val="6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W przypadku dziedziczenia ustawowego jeżeli dziecko spadkodawcy nie dożyło do otwarcia spadku udział spadkowy, który by mu przypadał przypada:</w:t>
      </w:r>
    </w:p>
    <w:p w14:paraId="59EC3AD8" w14:textId="77777777" w:rsidR="001C01F2" w:rsidRPr="009B52D1" w:rsidRDefault="001C01F2" w:rsidP="001C01F2">
      <w:pPr>
        <w:numPr>
          <w:ilvl w:val="0"/>
          <w:numId w:val="18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jego dzieciom w częściach równych;</w:t>
      </w:r>
    </w:p>
    <w:p w14:paraId="569A5E03" w14:textId="77777777" w:rsidR="001C01F2" w:rsidRPr="009B52D1" w:rsidRDefault="001C01F2" w:rsidP="001C01F2">
      <w:pPr>
        <w:numPr>
          <w:ilvl w:val="0"/>
          <w:numId w:val="18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pozostałym przy życiu rodzicom spadkodawcy;;</w:t>
      </w:r>
    </w:p>
    <w:p w14:paraId="67C1CC78" w14:textId="3E17629E" w:rsidR="001C01F2" w:rsidRPr="009B52D1" w:rsidRDefault="001C01F2" w:rsidP="009B52D1">
      <w:pPr>
        <w:numPr>
          <w:ilvl w:val="0"/>
          <w:numId w:val="18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pozostałemu przy życiu małżonkowi spadkodawcy.</w:t>
      </w:r>
    </w:p>
    <w:p w14:paraId="4A858089" w14:textId="77777777" w:rsidR="001C01F2" w:rsidRPr="009B52D1" w:rsidRDefault="001C01F2" w:rsidP="001C01F2">
      <w:pPr>
        <w:spacing w:after="200"/>
        <w:ind w:left="1080" w:right="0" w:hanging="436"/>
        <w:contextualSpacing/>
        <w:rPr>
          <w:rFonts w:eastAsia="Calibri" w:cs="Times New Roman"/>
          <w:kern w:val="0"/>
          <w14:ligatures w14:val="none"/>
        </w:rPr>
      </w:pPr>
    </w:p>
    <w:p w14:paraId="7EA0E294" w14:textId="77777777" w:rsidR="001C01F2" w:rsidRPr="009B52D1" w:rsidRDefault="001C01F2" w:rsidP="001C01F2">
      <w:pPr>
        <w:numPr>
          <w:ilvl w:val="0"/>
          <w:numId w:val="6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Jeden testament może być sporządzony:</w:t>
      </w:r>
    </w:p>
    <w:p w14:paraId="7D214DA9" w14:textId="77777777" w:rsidR="001C01F2" w:rsidRPr="009B52D1" w:rsidRDefault="001C01F2" w:rsidP="001C01F2">
      <w:pPr>
        <w:numPr>
          <w:ilvl w:val="0"/>
          <w:numId w:val="19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przez jedną osobę jak również przez małżonków;</w:t>
      </w:r>
    </w:p>
    <w:p w14:paraId="01AD3D04" w14:textId="77777777" w:rsidR="001C01F2" w:rsidRPr="009B52D1" w:rsidRDefault="001C01F2" w:rsidP="001C01F2">
      <w:pPr>
        <w:numPr>
          <w:ilvl w:val="0"/>
          <w:numId w:val="19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tylko przez jedną osobę;</w:t>
      </w:r>
    </w:p>
    <w:p w14:paraId="6E0A763A" w14:textId="77777777" w:rsidR="001C01F2" w:rsidRPr="009B52D1" w:rsidRDefault="001C01F2" w:rsidP="001C01F2">
      <w:pPr>
        <w:numPr>
          <w:ilvl w:val="0"/>
          <w:numId w:val="19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przez jedną osobę jak również przez kilka osób, niezależnie czy są małżonkami.</w:t>
      </w:r>
      <w:r w:rsidRPr="009B52D1">
        <w:rPr>
          <w:rFonts w:eastAsia="Calibri" w:cs="Times New Roman"/>
          <w:kern w:val="0"/>
          <w14:ligatures w14:val="none"/>
        </w:rPr>
        <w:br/>
      </w:r>
    </w:p>
    <w:p w14:paraId="22667C9F" w14:textId="77777777" w:rsidR="001C01F2" w:rsidRPr="009B52D1" w:rsidRDefault="001C01F2" w:rsidP="001C01F2">
      <w:pPr>
        <w:numPr>
          <w:ilvl w:val="0"/>
          <w:numId w:val="6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Pozew podlega odrzuceniu, gdy:</w:t>
      </w:r>
    </w:p>
    <w:p w14:paraId="50C79962" w14:textId="77777777" w:rsidR="001C01F2" w:rsidRPr="009B52D1" w:rsidRDefault="001C01F2" w:rsidP="001C01F2">
      <w:pPr>
        <w:numPr>
          <w:ilvl w:val="0"/>
          <w:numId w:val="20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po stronie powoda brak legitymacji czynnej;</w:t>
      </w:r>
    </w:p>
    <w:p w14:paraId="1454123B" w14:textId="77777777" w:rsidR="001C01F2" w:rsidRPr="009B52D1" w:rsidRDefault="001C01F2" w:rsidP="001C01F2">
      <w:pPr>
        <w:numPr>
          <w:ilvl w:val="0"/>
          <w:numId w:val="20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roszczenie jest przedawnione;</w:t>
      </w:r>
    </w:p>
    <w:p w14:paraId="784C1BCD" w14:textId="77777777" w:rsidR="001C01F2" w:rsidRPr="009B52D1" w:rsidRDefault="001C01F2" w:rsidP="001C01F2">
      <w:pPr>
        <w:numPr>
          <w:ilvl w:val="0"/>
          <w:numId w:val="20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o to samo roszczenie sprawa została już prawomocnie osądzona.</w:t>
      </w:r>
    </w:p>
    <w:p w14:paraId="1AD3746C" w14:textId="77777777" w:rsidR="001C01F2" w:rsidRPr="009B52D1" w:rsidRDefault="001C01F2" w:rsidP="001C01F2">
      <w:pPr>
        <w:spacing w:after="200"/>
        <w:ind w:left="1080" w:right="0" w:hanging="436"/>
        <w:contextualSpacing/>
        <w:rPr>
          <w:rFonts w:eastAsia="Calibri" w:cs="Times New Roman"/>
          <w:kern w:val="0"/>
          <w:u w:val="single"/>
          <w14:ligatures w14:val="none"/>
        </w:rPr>
      </w:pPr>
    </w:p>
    <w:p w14:paraId="3D260AE8" w14:textId="77777777" w:rsidR="001C01F2" w:rsidRPr="009B52D1" w:rsidRDefault="001C01F2" w:rsidP="001C01F2">
      <w:pPr>
        <w:numPr>
          <w:ilvl w:val="0"/>
          <w:numId w:val="6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Nieważność postępowania zachodzi, gdy:</w:t>
      </w:r>
    </w:p>
    <w:p w14:paraId="777D3E8B" w14:textId="77777777" w:rsidR="001C01F2" w:rsidRPr="009B52D1" w:rsidRDefault="001C01F2" w:rsidP="001C01F2">
      <w:pPr>
        <w:numPr>
          <w:ilvl w:val="0"/>
          <w:numId w:val="21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w sprawie orzekł sąd rejonowy, pomimo, że do rozpoznania tej sprawy jest właściwy sąd okręgowy bez względu na wartość przedmiotu sporu;</w:t>
      </w:r>
    </w:p>
    <w:p w14:paraId="1AD559A7" w14:textId="77777777" w:rsidR="001C01F2" w:rsidRPr="009B52D1" w:rsidRDefault="001C01F2" w:rsidP="001C01F2">
      <w:pPr>
        <w:numPr>
          <w:ilvl w:val="0"/>
          <w:numId w:val="21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w sprawie o stwierdzenie nabycia spadku orzekł sąd okręgowy;</w:t>
      </w:r>
    </w:p>
    <w:p w14:paraId="05DD1897" w14:textId="222F2EBA" w:rsidR="001C01F2" w:rsidRPr="009B52D1" w:rsidRDefault="001C01F2" w:rsidP="001C01F2">
      <w:pPr>
        <w:numPr>
          <w:ilvl w:val="0"/>
          <w:numId w:val="21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lastRenderedPageBreak/>
        <w:t>w sprawie o zapłatę kwoty 500.000- zł orzekł sąd rejonowy.</w:t>
      </w:r>
    </w:p>
    <w:p w14:paraId="0E04FFD2" w14:textId="77777777" w:rsidR="001C01F2" w:rsidRPr="009B52D1" w:rsidRDefault="001C01F2" w:rsidP="001C01F2">
      <w:pPr>
        <w:spacing w:after="200"/>
        <w:ind w:left="1080" w:right="0" w:hanging="436"/>
        <w:contextualSpacing/>
        <w:rPr>
          <w:rFonts w:eastAsia="Calibri" w:cs="Times New Roman"/>
          <w:kern w:val="0"/>
          <w14:ligatures w14:val="none"/>
        </w:rPr>
      </w:pPr>
    </w:p>
    <w:p w14:paraId="70D6E025" w14:textId="77777777" w:rsidR="001C01F2" w:rsidRPr="009B52D1" w:rsidRDefault="001C01F2" w:rsidP="001C01F2">
      <w:pPr>
        <w:spacing w:after="200"/>
        <w:ind w:left="1080" w:right="0" w:hanging="436"/>
        <w:contextualSpacing/>
        <w:rPr>
          <w:rFonts w:eastAsia="Calibri" w:cs="Times New Roman"/>
          <w:kern w:val="0"/>
          <w14:ligatures w14:val="none"/>
        </w:rPr>
      </w:pPr>
    </w:p>
    <w:p w14:paraId="7E61E8DE" w14:textId="77777777" w:rsidR="001C01F2" w:rsidRPr="009B52D1" w:rsidRDefault="001C01F2" w:rsidP="001C01F2">
      <w:pPr>
        <w:numPr>
          <w:ilvl w:val="0"/>
          <w:numId w:val="6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W sprawach o zniesienie współwłasności właściwy jest:</w:t>
      </w:r>
    </w:p>
    <w:p w14:paraId="0D2F8F8D" w14:textId="77777777" w:rsidR="001C01F2" w:rsidRPr="009B52D1" w:rsidRDefault="001C01F2" w:rsidP="001C01F2">
      <w:pPr>
        <w:numPr>
          <w:ilvl w:val="0"/>
          <w:numId w:val="22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tylko sąd okręgowy bez względu na wartość przedmiotu postępowania;</w:t>
      </w:r>
    </w:p>
    <w:p w14:paraId="74A2D449" w14:textId="77777777" w:rsidR="001C01F2" w:rsidRPr="009B52D1" w:rsidRDefault="001C01F2" w:rsidP="001C01F2">
      <w:pPr>
        <w:numPr>
          <w:ilvl w:val="0"/>
          <w:numId w:val="22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tylko sąd rejonowy bez względu na wartość przedmiotu postępowania;</w:t>
      </w:r>
    </w:p>
    <w:p w14:paraId="25B6D9F9" w14:textId="77777777" w:rsidR="001C01F2" w:rsidRPr="009B52D1" w:rsidRDefault="001C01F2" w:rsidP="001C01F2">
      <w:pPr>
        <w:numPr>
          <w:ilvl w:val="0"/>
          <w:numId w:val="22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do wartości przedmiotu postępowania 75.000,- zł jest właściwy sąd rejonowy, zaś powyżej tej wartości właściwy jest sąd okręgowy.</w:t>
      </w:r>
    </w:p>
    <w:p w14:paraId="72D4FD32" w14:textId="77777777" w:rsidR="001C01F2" w:rsidRPr="009B52D1" w:rsidRDefault="001C01F2" w:rsidP="001C01F2">
      <w:pPr>
        <w:spacing w:after="200"/>
        <w:ind w:left="1080" w:right="0" w:hanging="436"/>
        <w:contextualSpacing/>
        <w:rPr>
          <w:rFonts w:eastAsia="Calibri" w:cs="Times New Roman"/>
          <w:kern w:val="0"/>
          <w14:ligatures w14:val="none"/>
        </w:rPr>
      </w:pPr>
    </w:p>
    <w:p w14:paraId="70025BE6" w14:textId="77777777" w:rsidR="001C01F2" w:rsidRPr="009B52D1" w:rsidRDefault="001C01F2" w:rsidP="001C01F2">
      <w:pPr>
        <w:numPr>
          <w:ilvl w:val="0"/>
          <w:numId w:val="6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W przypadku, gdy pozew nie został podpisany sąd powinien:</w:t>
      </w:r>
    </w:p>
    <w:p w14:paraId="258C86C2" w14:textId="77777777" w:rsidR="001C01F2" w:rsidRPr="009B52D1" w:rsidRDefault="001C01F2" w:rsidP="001C01F2">
      <w:pPr>
        <w:numPr>
          <w:ilvl w:val="0"/>
          <w:numId w:val="23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pozew odrzucić;</w:t>
      </w:r>
    </w:p>
    <w:p w14:paraId="1B1A923A" w14:textId="77777777" w:rsidR="001C01F2" w:rsidRPr="009B52D1" w:rsidRDefault="001C01F2" w:rsidP="001C01F2">
      <w:pPr>
        <w:numPr>
          <w:ilvl w:val="0"/>
          <w:numId w:val="23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postępowanie umorzyć;</w:t>
      </w:r>
    </w:p>
    <w:p w14:paraId="65687510" w14:textId="77777777" w:rsidR="001C01F2" w:rsidRPr="009B52D1" w:rsidRDefault="001C01F2" w:rsidP="001C01F2">
      <w:pPr>
        <w:numPr>
          <w:ilvl w:val="0"/>
          <w:numId w:val="23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wezwać powoda do uzupełnienia braków formalnych pozwu poprzez jego własnoręczne podpisanie i zakreślić mu do wykonania tego zobowiązania termin tygodniowy od daty doręczenia wezwania - pod rygorem zwrotu pozwu.</w:t>
      </w:r>
    </w:p>
    <w:p w14:paraId="735FD747" w14:textId="77777777" w:rsidR="001C01F2" w:rsidRPr="009B52D1" w:rsidRDefault="001C01F2" w:rsidP="001C01F2">
      <w:pPr>
        <w:spacing w:after="200"/>
        <w:ind w:left="1080" w:right="0" w:hanging="436"/>
        <w:contextualSpacing/>
        <w:rPr>
          <w:rFonts w:eastAsia="Calibri" w:cs="Times New Roman"/>
          <w:kern w:val="0"/>
          <w:u w:val="single"/>
          <w14:ligatures w14:val="none"/>
        </w:rPr>
      </w:pPr>
    </w:p>
    <w:p w14:paraId="3ED2B149" w14:textId="77777777" w:rsidR="001C01F2" w:rsidRPr="009B52D1" w:rsidRDefault="001C01F2" w:rsidP="001C01F2">
      <w:pPr>
        <w:numPr>
          <w:ilvl w:val="0"/>
          <w:numId w:val="6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 xml:space="preserve">Wniesienie sprzeciwu od nakazu zapłaty w postępowaniu upominawczym, w ustawowym terminie, należycie opłaconego i pozbawionego braków formalnych powoduje, że: </w:t>
      </w:r>
    </w:p>
    <w:p w14:paraId="33E805FA" w14:textId="77777777" w:rsidR="001C01F2" w:rsidRPr="009B52D1" w:rsidRDefault="001C01F2" w:rsidP="001C01F2">
      <w:pPr>
        <w:numPr>
          <w:ilvl w:val="0"/>
          <w:numId w:val="24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sąd wydaje postanowienie o umorzeniu postępowania;</w:t>
      </w:r>
    </w:p>
    <w:p w14:paraId="673A1418" w14:textId="77777777" w:rsidR="001C01F2" w:rsidRPr="009B52D1" w:rsidRDefault="001C01F2" w:rsidP="001C01F2">
      <w:pPr>
        <w:numPr>
          <w:ilvl w:val="0"/>
          <w:numId w:val="24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sąd wydaje postanowienie odrzucenie pozwu;</w:t>
      </w:r>
    </w:p>
    <w:p w14:paraId="3A21D97A" w14:textId="77777777" w:rsidR="001C01F2" w:rsidRPr="009B52D1" w:rsidRDefault="001C01F2" w:rsidP="001C01F2">
      <w:pPr>
        <w:numPr>
          <w:ilvl w:val="0"/>
          <w:numId w:val="24"/>
        </w:numPr>
        <w:spacing w:after="200" w:line="276" w:lineRule="auto"/>
        <w:ind w:right="0" w:hanging="436"/>
        <w:contextualSpacing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nakaz zapłaty traci moc, a przewodniczący wyznacza rozprawę i zarządza doręczenie powodowi sprzeciwu razem z wezwaniem na rozprawę.</w:t>
      </w:r>
    </w:p>
    <w:p w14:paraId="5B1CE7CA" w14:textId="77777777" w:rsidR="00B34EC7" w:rsidRPr="009B52D1" w:rsidRDefault="00B34EC7" w:rsidP="001C01F2">
      <w:pPr>
        <w:rPr>
          <w:rFonts w:cs="Times New Roman"/>
        </w:rPr>
      </w:pPr>
    </w:p>
    <w:p w14:paraId="06F3434E" w14:textId="77777777" w:rsidR="001C01F2" w:rsidRPr="009B52D1" w:rsidRDefault="001C01F2" w:rsidP="001C01F2">
      <w:pPr>
        <w:rPr>
          <w:rFonts w:cs="Times New Roman"/>
        </w:rPr>
      </w:pPr>
    </w:p>
    <w:p w14:paraId="0F1E963F" w14:textId="77777777" w:rsidR="001C01F2" w:rsidRPr="009B52D1" w:rsidRDefault="001C01F2" w:rsidP="001C01F2">
      <w:pPr>
        <w:spacing w:after="200" w:line="276" w:lineRule="auto"/>
        <w:ind w:left="0" w:right="0" w:firstLine="708"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 xml:space="preserve">W dniu 10 stycznia 2018 r. (data nadania w placówce pocztowej) Bernard Nowak wniósł pozew przeciwko Janinie Kowalskiej o zapłatę kwoty 20.000,- zł wraz z ustawowymi odsetkami za opóźnienie od dnia wniesienia powództwa do dnia zapłaty, wniósł także </w:t>
      </w:r>
      <w:r w:rsidRPr="009B52D1">
        <w:rPr>
          <w:rFonts w:eastAsia="Calibri" w:cs="Times New Roman"/>
          <w:kern w:val="0"/>
          <w14:ligatures w14:val="none"/>
        </w:rPr>
        <w:br/>
        <w:t xml:space="preserve">o zasądzenie na jego rzecz kosztów postępowania od pozwanej. W uzasadnieniu pozwu wskazał, że dochodzona kwota stanowi wynagrodzenie za wykonanie przez powoda jako osobę która zawodowo trudni się takimi czynnościami (zleceniobiorcę) umowy zlecenia z dnia </w:t>
      </w:r>
      <w:r w:rsidRPr="009B52D1">
        <w:rPr>
          <w:rFonts w:eastAsia="Calibri" w:cs="Times New Roman"/>
          <w:kern w:val="0"/>
          <w14:ligatures w14:val="none"/>
        </w:rPr>
        <w:br/>
        <w:t>30 kwietnia 2017 r. dla pozwanej (zleceniodawcy), w której to umowie strony ustaliły termin zapłaty wynagrodzenia na dzień 30 czerwca 2017 r. Powód nie był reprezentowany przez profesjonalnego pełnomocnika. Powód do pozwu załączył:</w:t>
      </w:r>
    </w:p>
    <w:p w14:paraId="2376B41F" w14:textId="77777777" w:rsidR="001C01F2" w:rsidRPr="009B52D1" w:rsidRDefault="001C01F2" w:rsidP="001C01F2">
      <w:pPr>
        <w:spacing w:after="200" w:line="276" w:lineRule="auto"/>
        <w:ind w:left="708" w:right="0" w:firstLine="0"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-  oryginał umowy zlecenia z dnia 30 kwietnia 2017 r. zawartej między stronami;</w:t>
      </w:r>
    </w:p>
    <w:p w14:paraId="1BE8DCCF" w14:textId="77777777" w:rsidR="001C01F2" w:rsidRPr="009B52D1" w:rsidRDefault="001C01F2" w:rsidP="001C01F2">
      <w:pPr>
        <w:spacing w:after="200" w:line="276" w:lineRule="auto"/>
        <w:ind w:left="708" w:right="0" w:firstLine="0"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 xml:space="preserve">- oryginał wezwania do zapłaty z dnia 1 września 2017 r. skierowany przez powoda do pozwanej, gdzie termin zapłaty wynagrodzenia został wyznaczony pozwanej do dnia </w:t>
      </w:r>
      <w:r w:rsidRPr="009B52D1">
        <w:rPr>
          <w:rFonts w:eastAsia="Calibri" w:cs="Times New Roman"/>
          <w:kern w:val="0"/>
          <w14:ligatures w14:val="none"/>
        </w:rPr>
        <w:br/>
        <w:t xml:space="preserve">15 października 2017 r. </w:t>
      </w:r>
    </w:p>
    <w:p w14:paraId="4F6BB8FB" w14:textId="77777777" w:rsidR="001C01F2" w:rsidRPr="009B52D1" w:rsidRDefault="001C01F2" w:rsidP="001C01F2">
      <w:pPr>
        <w:spacing w:after="200" w:line="276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 xml:space="preserve">Powód podniósł, że powyższy termin ten do zapłaty upłynął bezskutecznie. </w:t>
      </w:r>
    </w:p>
    <w:p w14:paraId="72A44F78" w14:textId="77777777" w:rsidR="001C01F2" w:rsidRPr="009B52D1" w:rsidRDefault="001C01F2" w:rsidP="001C01F2">
      <w:pPr>
        <w:spacing w:after="200" w:line="276" w:lineRule="auto"/>
        <w:ind w:left="0" w:right="0" w:firstLine="708"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 xml:space="preserve">W dniu 25 stycznia 2018 r. referendarz sądowy zarządził rozpoznać sprawę  w postępowaniu uproszczonym upominawczym, ustalił opłatę sądową od pozwu na kwotę 300,- </w:t>
      </w:r>
      <w:r w:rsidRPr="009B52D1">
        <w:rPr>
          <w:rFonts w:eastAsia="Calibri" w:cs="Times New Roman"/>
          <w:kern w:val="0"/>
          <w14:ligatures w14:val="none"/>
        </w:rPr>
        <w:lastRenderedPageBreak/>
        <w:t>zł, która to opłata została przez powoda uiszczona w dacie wniesienia powództwa. Również w dniu  25 stycznia 2018 r. referendarz sądowy wydał nakaz zapłaty w postępowaniu upominawczym, w którym nakazał zapłatę przez powoda na rzecz pozwanej kwoty 20.000,- zł wraz z ustawowymi odsetkami za opóźnienie od dnia 10 stycznia 2018 r. do dnia zapłaty i zwrot kosztów postępowania w kwocie 75,- zł. W punkcie 2 nakazu zapłaty referendarz sądowy, na podstawie art. 79 ust. 1 pkt 2 lit. c ustawy z dnia 28 lipca 2005 r. o kosztach sądowych w sprawach cywilnych (</w:t>
      </w:r>
      <w:proofErr w:type="spellStart"/>
      <w:r w:rsidRPr="009B52D1">
        <w:rPr>
          <w:rFonts w:eastAsia="Calibri" w:cs="Times New Roman"/>
          <w:kern w:val="0"/>
          <w14:ligatures w14:val="none"/>
        </w:rPr>
        <w:t>t.j</w:t>
      </w:r>
      <w:proofErr w:type="spellEnd"/>
      <w:r w:rsidRPr="009B52D1">
        <w:rPr>
          <w:rFonts w:eastAsia="Calibri" w:cs="Times New Roman"/>
          <w:kern w:val="0"/>
          <w14:ligatures w14:val="none"/>
        </w:rPr>
        <w:t>. Dz. U. z 2018 r. poz. 300), polecił Skarbowi Państwa - Sądowi Rejonowemu dla Warszawy – Śródmieścia w Warszawie zwrócenie na rzecz powoda po uprawomocnieniu się nakazu zapłaty kwotę 225,- zł stanowiącą 3/4 uiszczonej przez powoda opłaty sądowej od pozwu.</w:t>
      </w:r>
    </w:p>
    <w:p w14:paraId="2489AA14" w14:textId="77777777" w:rsidR="001C01F2" w:rsidRPr="009B52D1" w:rsidRDefault="001C01F2" w:rsidP="001C01F2">
      <w:pPr>
        <w:spacing w:after="200" w:line="276" w:lineRule="auto"/>
        <w:ind w:left="0" w:right="0" w:firstLine="708"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 xml:space="preserve">Odpis nakazu zapłaty wraz z odpisem pozwu został doręczony pozwanej w dniu 17 lutego 2018 r., która to w ustawowym terminie wniosła sprzeciw. Pozwana była reprezentowana przez profesjonalnego pełnomocnika w osobie adwokata i w sprzeciwie zaskarżyła nakaz zapłaty w całości, wniosła o oddalenie powództwa  w całości, a nadto wniosła o zasądzenie od pozwanej na rzecz powoda kosztów postępowania, w tym kosztów zastępstwa procesowego według norm przepisanych i kosztów opłaty skarbowej od pełnomocnictwa w kwocie 17,- zł. W uzasadnieniu sprzeciwu wskazała, że w dniu 20 grudnia 2017 r. (czyli przed wniesieniem powództwa w niniejszej sprawie) wpłaciła na rachunek powoda kwotę 5.000,- zł wraz z ustawowymi odsetkami za opóźnienie liczonymi od tej kwoty, natomiast roszczenia w pozostałym zakresie o zapłatę kwoty 15.000,- zł nie kwestionuje ani co do zasady ani co do wysokości. Jednakże podniosła, że roszczenie o zapłatę kwoty 15.000,- zł jest przedawnione. </w:t>
      </w:r>
    </w:p>
    <w:p w14:paraId="504E81EE" w14:textId="77777777" w:rsidR="001C01F2" w:rsidRPr="009B52D1" w:rsidRDefault="001C01F2" w:rsidP="001C01F2">
      <w:pPr>
        <w:spacing w:after="200" w:line="276" w:lineRule="auto"/>
        <w:ind w:left="0" w:right="0" w:firstLine="708"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Odpis sprzeciwu powód otrzymał w dniu 12 marca 2018 r. i w replice z dnia    23 marca 2018 r. na sprzeciw powód cofnął pozew ze zrzeczeniem się roszczenia w części to jest w zakresie kwoty 5.000,- zł. i odsetek za opóźnienie liczonych od tej kwoty. Jednocześnie  powód podtrzymał powództwo o zasądzenie od pozwanej na jego rzecz kwoty 15.000,- zł z ustawowymi odsetkami za opóźnienie od dnia 10 stycznia 2018 r. do dnia zapłaty i kosztami procesu.</w:t>
      </w:r>
    </w:p>
    <w:p w14:paraId="6EDB57EE" w14:textId="77777777" w:rsidR="001C01F2" w:rsidRPr="009B52D1" w:rsidRDefault="001C01F2" w:rsidP="001C01F2">
      <w:pPr>
        <w:spacing w:after="200" w:line="276" w:lineRule="auto"/>
        <w:ind w:left="0" w:right="0" w:firstLine="708"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 xml:space="preserve">Na rozprawie w dniu 28 sierpnia 2018 r. powód podtrzymał swoje stanowisko zawarte w odpowiedzi na sprzeciw. </w:t>
      </w:r>
    </w:p>
    <w:p w14:paraId="6FC948CF" w14:textId="77777777" w:rsidR="001C01F2" w:rsidRPr="009B52D1" w:rsidRDefault="001C01F2" w:rsidP="001C01F2">
      <w:pPr>
        <w:spacing w:after="200" w:line="276" w:lineRule="auto"/>
        <w:ind w:left="0" w:right="0" w:firstLine="708"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 xml:space="preserve">Pozwana zaś na tej rozprawie wniosła – wobec cofnięcia powództwa w części - o umorzenie postępowania w zakresie kwoty 5.000,- zł i odsetek za opóźnienie liczonych od tej kwoty. Nadto wniosła o oddalenie powództwa w zakresie kwoty 15.000,- zł oraz odsetek za opóźnienie liczonych od tej kwoty z uwagi na przedawnienie tego roszczenia. Dodatkowo pozwana wniosła o zasądzenie od powoda na rzecz pozwanej kosztów procesu liczonych od kwoty 20.000,- zł. </w:t>
      </w:r>
    </w:p>
    <w:p w14:paraId="17FB1713" w14:textId="77777777" w:rsidR="001C01F2" w:rsidRPr="009B52D1" w:rsidRDefault="001C01F2" w:rsidP="001C01F2">
      <w:pPr>
        <w:spacing w:after="200" w:line="276" w:lineRule="auto"/>
        <w:ind w:left="0" w:right="0" w:firstLine="708"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Przewodniczący zamknął rozprawę  w dniu 28 sierpnia 2018 r., zarządził naradę nad wyrokiem informując, że wyrok zostanie ogłoszony za 30 minut.</w:t>
      </w:r>
    </w:p>
    <w:p w14:paraId="1C72AC43" w14:textId="07205B8F" w:rsidR="001C01F2" w:rsidRPr="009B52D1" w:rsidRDefault="001C01F2" w:rsidP="009B52D1">
      <w:pPr>
        <w:spacing w:after="200" w:line="276" w:lineRule="auto"/>
        <w:ind w:left="0" w:right="0" w:firstLine="708"/>
        <w:rPr>
          <w:rFonts w:eastAsia="Calibri" w:cs="Times New Roman"/>
          <w:kern w:val="0"/>
          <w14:ligatures w14:val="none"/>
        </w:rPr>
      </w:pPr>
      <w:r w:rsidRPr="009B52D1">
        <w:rPr>
          <w:rFonts w:eastAsia="Calibri" w:cs="Times New Roman"/>
          <w:kern w:val="0"/>
          <w14:ligatures w14:val="none"/>
        </w:rPr>
        <w:t>Proszę zaprojektować treść orzeczenia oraz sporządzić jego uzasadnienie, nawet gdyby nie byłoby przewidziane przepisami prawa. (np.: brak wniosku strony) i przyjąć, że koszty zastępstwa procesowego pozwanego wynoszą 3.600 zł.</w:t>
      </w:r>
    </w:p>
    <w:sectPr w:rsidR="001C01F2" w:rsidRPr="009B52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2A5"/>
    <w:multiLevelType w:val="hybridMultilevel"/>
    <w:tmpl w:val="28E2E2A4"/>
    <w:lvl w:ilvl="0" w:tplc="120CAB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DD4AE0"/>
    <w:multiLevelType w:val="hybridMultilevel"/>
    <w:tmpl w:val="DF5E9E72"/>
    <w:lvl w:ilvl="0" w:tplc="6212E1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3C7812"/>
    <w:multiLevelType w:val="hybridMultilevel"/>
    <w:tmpl w:val="9F7CD01C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C86AB0"/>
    <w:multiLevelType w:val="hybridMultilevel"/>
    <w:tmpl w:val="092AF91A"/>
    <w:lvl w:ilvl="0" w:tplc="6C08E5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AC1C90"/>
    <w:multiLevelType w:val="hybridMultilevel"/>
    <w:tmpl w:val="CEF07B12"/>
    <w:lvl w:ilvl="0" w:tplc="F02092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9231A"/>
    <w:multiLevelType w:val="hybridMultilevel"/>
    <w:tmpl w:val="455A1FB2"/>
    <w:lvl w:ilvl="0" w:tplc="7B1A04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775B29"/>
    <w:multiLevelType w:val="hybridMultilevel"/>
    <w:tmpl w:val="8AC2A1CA"/>
    <w:lvl w:ilvl="0" w:tplc="0D0E47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7A04C0D"/>
    <w:multiLevelType w:val="hybridMultilevel"/>
    <w:tmpl w:val="9A70647C"/>
    <w:lvl w:ilvl="0" w:tplc="32E006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256EAD"/>
    <w:multiLevelType w:val="hybridMultilevel"/>
    <w:tmpl w:val="16CE6040"/>
    <w:lvl w:ilvl="0" w:tplc="BCA48F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D9C3E32"/>
    <w:multiLevelType w:val="hybridMultilevel"/>
    <w:tmpl w:val="26D4E15A"/>
    <w:lvl w:ilvl="0" w:tplc="BA26EF1A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206DCC"/>
    <w:multiLevelType w:val="hybridMultilevel"/>
    <w:tmpl w:val="A0D0FCC2"/>
    <w:lvl w:ilvl="0" w:tplc="8CE0F2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5917DE"/>
    <w:multiLevelType w:val="hybridMultilevel"/>
    <w:tmpl w:val="0F6A948E"/>
    <w:lvl w:ilvl="0" w:tplc="350A14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DE6E10"/>
    <w:multiLevelType w:val="hybridMultilevel"/>
    <w:tmpl w:val="91A255EC"/>
    <w:lvl w:ilvl="0" w:tplc="E81E87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8EF1071"/>
    <w:multiLevelType w:val="hybridMultilevel"/>
    <w:tmpl w:val="551A2254"/>
    <w:lvl w:ilvl="0" w:tplc="70EA3EBE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F753429"/>
    <w:multiLevelType w:val="hybridMultilevel"/>
    <w:tmpl w:val="4E9C2110"/>
    <w:lvl w:ilvl="0" w:tplc="9F560F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0E95E42"/>
    <w:multiLevelType w:val="hybridMultilevel"/>
    <w:tmpl w:val="D4FC4044"/>
    <w:lvl w:ilvl="0" w:tplc="26DAE1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034B75"/>
    <w:multiLevelType w:val="hybridMultilevel"/>
    <w:tmpl w:val="2B8AA21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BB351B3"/>
    <w:multiLevelType w:val="hybridMultilevel"/>
    <w:tmpl w:val="2326BB8E"/>
    <w:lvl w:ilvl="0" w:tplc="464093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C9F406A"/>
    <w:multiLevelType w:val="hybridMultilevel"/>
    <w:tmpl w:val="1732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6324">
    <w:abstractNumId w:val="17"/>
  </w:num>
  <w:num w:numId="2" w16cid:durableId="244455794">
    <w:abstractNumId w:val="15"/>
  </w:num>
  <w:num w:numId="3" w16cid:durableId="1722825891">
    <w:abstractNumId w:val="15"/>
  </w:num>
  <w:num w:numId="4" w16cid:durableId="939677841">
    <w:abstractNumId w:val="7"/>
  </w:num>
  <w:num w:numId="5" w16cid:durableId="828248301">
    <w:abstractNumId w:val="10"/>
  </w:num>
  <w:num w:numId="6" w16cid:durableId="468402489">
    <w:abstractNumId w:val="22"/>
  </w:num>
  <w:num w:numId="7" w16cid:durableId="688339060">
    <w:abstractNumId w:val="8"/>
  </w:num>
  <w:num w:numId="8" w16cid:durableId="1572618198">
    <w:abstractNumId w:val="0"/>
  </w:num>
  <w:num w:numId="9" w16cid:durableId="1841921348">
    <w:abstractNumId w:val="20"/>
  </w:num>
  <w:num w:numId="10" w16cid:durableId="1363941592">
    <w:abstractNumId w:val="4"/>
  </w:num>
  <w:num w:numId="11" w16cid:durableId="2142916195">
    <w:abstractNumId w:val="13"/>
  </w:num>
  <w:num w:numId="12" w16cid:durableId="1605527901">
    <w:abstractNumId w:val="19"/>
  </w:num>
  <w:num w:numId="13" w16cid:durableId="399522175">
    <w:abstractNumId w:val="9"/>
  </w:num>
  <w:num w:numId="14" w16cid:durableId="99497809">
    <w:abstractNumId w:val="2"/>
  </w:num>
  <w:num w:numId="15" w16cid:durableId="1641182754">
    <w:abstractNumId w:val="14"/>
  </w:num>
  <w:num w:numId="16" w16cid:durableId="1229926297">
    <w:abstractNumId w:val="12"/>
  </w:num>
  <w:num w:numId="17" w16cid:durableId="1680350349">
    <w:abstractNumId w:val="16"/>
  </w:num>
  <w:num w:numId="18" w16cid:durableId="841895925">
    <w:abstractNumId w:val="21"/>
  </w:num>
  <w:num w:numId="19" w16cid:durableId="1798596305">
    <w:abstractNumId w:val="3"/>
  </w:num>
  <w:num w:numId="20" w16cid:durableId="571544826">
    <w:abstractNumId w:val="5"/>
  </w:num>
  <w:num w:numId="21" w16cid:durableId="1847404529">
    <w:abstractNumId w:val="11"/>
  </w:num>
  <w:num w:numId="22" w16cid:durableId="1457987112">
    <w:abstractNumId w:val="6"/>
  </w:num>
  <w:num w:numId="23" w16cid:durableId="2143765156">
    <w:abstractNumId w:val="18"/>
  </w:num>
  <w:num w:numId="24" w16cid:durableId="875193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1F2"/>
    <w:rsid w:val="0017340A"/>
    <w:rsid w:val="001C01F2"/>
    <w:rsid w:val="001F578F"/>
    <w:rsid w:val="003C5056"/>
    <w:rsid w:val="00404812"/>
    <w:rsid w:val="004E23CD"/>
    <w:rsid w:val="00743263"/>
    <w:rsid w:val="00886BAA"/>
    <w:rsid w:val="009A74E1"/>
    <w:rsid w:val="009B52D1"/>
    <w:rsid w:val="00B34EC7"/>
    <w:rsid w:val="00BB48D1"/>
    <w:rsid w:val="00C041D5"/>
    <w:rsid w:val="00C32AF7"/>
    <w:rsid w:val="00C66091"/>
    <w:rsid w:val="00D439EA"/>
    <w:rsid w:val="00D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CBA28"/>
  <w15:chartTrackingRefBased/>
  <w15:docId w15:val="{87FF5C95-8A52-4593-B4E7-CD4E4144E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01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0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01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01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01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01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01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01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01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C01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01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01F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01F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01F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01F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01F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01F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01F2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01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0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01F2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01F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01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01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01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01F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01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01F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01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1281</Words>
  <Characters>7690</Characters>
  <Application>Microsoft Office Word</Application>
  <DocSecurity>0</DocSecurity>
  <Lines>64</Lines>
  <Paragraphs>17</Paragraphs>
  <ScaleCrop>false</ScaleCrop>
  <Company/>
  <LinksUpToDate>false</LinksUpToDate>
  <CharactersWithSpaces>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2026-07-22T09:51:00Z</dcterms:created>
  <dcterms:modified xsi:type="dcterms:W3CDTF">2026-07-29T08:36:00Z</dcterms:modified>
</cp:coreProperties>
</file>