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4550" w14:textId="77777777" w:rsidR="00076B44" w:rsidRPr="005D73AE" w:rsidRDefault="00076B44" w:rsidP="00076B44">
      <w:pPr>
        <w:spacing w:after="20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Pytanie testowe dla asystentów z zakresu prawa cywilnego i postępowania cywilnego.</w:t>
      </w:r>
    </w:p>
    <w:p w14:paraId="0C49C776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1. Dla ubezwłasnowolnionego całkowicie, który nie pozostaje pod władzą rodzicielską ustanawia się:</w:t>
      </w:r>
    </w:p>
    <w:p w14:paraId="0575B298" w14:textId="77777777" w:rsidR="00076B44" w:rsidRPr="005D73AE" w:rsidRDefault="00076B44" w:rsidP="00076B44">
      <w:pPr>
        <w:numPr>
          <w:ilvl w:val="0"/>
          <w:numId w:val="6"/>
        </w:numPr>
        <w:spacing w:after="0" w:line="276" w:lineRule="auto"/>
        <w:ind w:right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pełnomocnika,</w:t>
      </w:r>
    </w:p>
    <w:p w14:paraId="0F511197" w14:textId="77777777" w:rsidR="00076B44" w:rsidRPr="005D73AE" w:rsidRDefault="00076B44" w:rsidP="00076B44">
      <w:pPr>
        <w:numPr>
          <w:ilvl w:val="0"/>
          <w:numId w:val="6"/>
        </w:numPr>
        <w:spacing w:after="0" w:line="276" w:lineRule="auto"/>
        <w:ind w:right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kuratora,</w:t>
      </w:r>
    </w:p>
    <w:p w14:paraId="341C9351" w14:textId="77777777" w:rsidR="00076B44" w:rsidRPr="005D73AE" w:rsidRDefault="00076B44" w:rsidP="00076B44">
      <w:pPr>
        <w:numPr>
          <w:ilvl w:val="0"/>
          <w:numId w:val="6"/>
        </w:numPr>
        <w:spacing w:after="0" w:line="276" w:lineRule="auto"/>
        <w:ind w:right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opiekuna.</w:t>
      </w:r>
      <w:r w:rsidRPr="005D73AE">
        <w:rPr>
          <w:rFonts w:eastAsia="Calibri" w:cs="Times New Roman"/>
          <w:kern w:val="0"/>
          <w14:ligatures w14:val="none"/>
        </w:rPr>
        <w:tab/>
      </w:r>
    </w:p>
    <w:p w14:paraId="474C4C83" w14:textId="77777777" w:rsidR="00076B44" w:rsidRPr="005D73AE" w:rsidRDefault="00076B44" w:rsidP="00076B44">
      <w:pPr>
        <w:spacing w:after="0"/>
        <w:ind w:left="720" w:right="0" w:firstLine="0"/>
        <w:rPr>
          <w:rFonts w:eastAsia="Calibri" w:cs="Times New Roman"/>
          <w:kern w:val="0"/>
          <w14:ligatures w14:val="none"/>
        </w:rPr>
      </w:pPr>
    </w:p>
    <w:p w14:paraId="55201F5F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2. Zbycie lub wydzierżawienie przedsiębiorstwa albo ustanowienie na nim użytkowania powinno być dokonane:</w:t>
      </w:r>
    </w:p>
    <w:p w14:paraId="4C605AEC" w14:textId="77777777" w:rsidR="00076B44" w:rsidRPr="005D73AE" w:rsidRDefault="00076B44" w:rsidP="00076B44">
      <w:pPr>
        <w:numPr>
          <w:ilvl w:val="0"/>
          <w:numId w:val="7"/>
        </w:numPr>
        <w:spacing w:after="0" w:line="276" w:lineRule="auto"/>
        <w:ind w:right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w formie pisemnej z podpisami notarialnie poświadczonymi,</w:t>
      </w:r>
    </w:p>
    <w:p w14:paraId="278D00A7" w14:textId="77777777" w:rsidR="00076B44" w:rsidRPr="005D73AE" w:rsidRDefault="00076B44" w:rsidP="00076B44">
      <w:pPr>
        <w:numPr>
          <w:ilvl w:val="0"/>
          <w:numId w:val="7"/>
        </w:numPr>
        <w:spacing w:after="0" w:line="276" w:lineRule="auto"/>
        <w:ind w:right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w zwykłej formie pisemnej,</w:t>
      </w:r>
    </w:p>
    <w:p w14:paraId="675ED63D" w14:textId="77777777" w:rsidR="00076B44" w:rsidRPr="005D73AE" w:rsidRDefault="00076B44" w:rsidP="00076B44">
      <w:pPr>
        <w:numPr>
          <w:ilvl w:val="0"/>
          <w:numId w:val="7"/>
        </w:numPr>
        <w:spacing w:after="0" w:line="276" w:lineRule="auto"/>
        <w:ind w:right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nie wymaga szczególnej formy.</w:t>
      </w:r>
    </w:p>
    <w:p w14:paraId="3C4DDE9E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126221ED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3. Prokury może udzielić:</w:t>
      </w:r>
    </w:p>
    <w:p w14:paraId="59BC425C" w14:textId="77777777" w:rsidR="00076B44" w:rsidRPr="005D73AE" w:rsidRDefault="00076B44" w:rsidP="00076B44">
      <w:pPr>
        <w:numPr>
          <w:ilvl w:val="0"/>
          <w:numId w:val="8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 xml:space="preserve">przedsiębiorca podlegający obowiązkowi wpisu do Centralnej Ewidencji i Informacji o Działalności Gospodarczej </w:t>
      </w:r>
    </w:p>
    <w:p w14:paraId="264AA548" w14:textId="77777777" w:rsidR="00076B44" w:rsidRPr="005D73AE" w:rsidRDefault="00076B44" w:rsidP="00076B44">
      <w:pPr>
        <w:numPr>
          <w:ilvl w:val="0"/>
          <w:numId w:val="8"/>
        </w:numPr>
        <w:spacing w:after="0" w:line="276" w:lineRule="auto"/>
        <w:ind w:right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tylko przedsiębiorca podlegający obowiązkowi wpisu do rejestru przedsiębiorców Krajowego Rejestru Sądowego,</w:t>
      </w:r>
    </w:p>
    <w:p w14:paraId="18B3772D" w14:textId="77777777" w:rsidR="00076B44" w:rsidRPr="005D73AE" w:rsidRDefault="00076B44" w:rsidP="00076B44">
      <w:pPr>
        <w:numPr>
          <w:ilvl w:val="0"/>
          <w:numId w:val="8"/>
        </w:numPr>
        <w:spacing w:after="0" w:line="276" w:lineRule="auto"/>
        <w:ind w:right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 xml:space="preserve">każda osoba prawna. </w:t>
      </w:r>
    </w:p>
    <w:p w14:paraId="37EFBFC8" w14:textId="77777777" w:rsidR="00076B44" w:rsidRPr="005D73AE" w:rsidRDefault="00076B44" w:rsidP="00076B44">
      <w:pPr>
        <w:spacing w:before="240"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039D2B9C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4.  Służebność osobista:</w:t>
      </w:r>
    </w:p>
    <w:p w14:paraId="3F9EABE1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 nie wygasa najpóźniej ze śmiercią uprawnionego;</w:t>
      </w:r>
    </w:p>
    <w:p w14:paraId="4534B705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 xml:space="preserve">b) jest zbywalna, </w:t>
      </w:r>
    </w:p>
    <w:p w14:paraId="125E2452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c)  nie można przenieść uprawnienia do jej wykonywania</w:t>
      </w:r>
    </w:p>
    <w:p w14:paraId="40A407AD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vanish/>
          <w:kern w:val="0"/>
          <w14:ligatures w14:val="none"/>
        </w:rPr>
      </w:pPr>
      <w:bookmarkStart w:id="0" w:name="#hiperlinkTextList.rpc?hiperlink=type=ko"/>
      <w:r w:rsidRPr="005D73AE">
        <w:rPr>
          <w:rFonts w:eastAsia="Calibri" w:cs="Times New Roman"/>
          <w:vanish/>
          <w:kern w:val="0"/>
          <w14:ligatures w14:val="none"/>
        </w:rPr>
        <w:t>informacje o jednostce</w:t>
      </w:r>
      <w:bookmarkEnd w:id="0"/>
    </w:p>
    <w:p w14:paraId="6FC73FED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vanish/>
          <w:kern w:val="0"/>
          <w14:ligatures w14:val="none"/>
        </w:rPr>
      </w:pPr>
      <w:r w:rsidRPr="005D73AE">
        <w:rPr>
          <w:rFonts w:eastAsia="Calibri" w:cs="Times New Roman"/>
          <w:vanish/>
          <w:kern w:val="0"/>
          <w14:ligatures w14:val="none"/>
        </w:rPr>
        <w:t>orzeczenia sądów</w:t>
      </w:r>
    </w:p>
    <w:p w14:paraId="49EC5D42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vanish/>
          <w:kern w:val="0"/>
          <w14:ligatures w14:val="none"/>
        </w:rPr>
      </w:pPr>
      <w:r w:rsidRPr="005D73AE">
        <w:rPr>
          <w:rFonts w:eastAsia="Calibri" w:cs="Times New Roman"/>
          <w:vanish/>
          <w:kern w:val="0"/>
          <w14:ligatures w14:val="none"/>
        </w:rPr>
        <w:t>komentarze</w:t>
      </w:r>
    </w:p>
    <w:p w14:paraId="0BC2980D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vanish/>
          <w:kern w:val="0"/>
          <w14:ligatures w14:val="none"/>
        </w:rPr>
      </w:pPr>
      <w:bookmarkStart w:id="1" w:name="#hiperlinkDocsList.rpc?hiperlink=type=ob"/>
      <w:r w:rsidRPr="005D73AE">
        <w:rPr>
          <w:rFonts w:eastAsia="Calibri" w:cs="Times New Roman"/>
          <w:vanish/>
          <w:kern w:val="0"/>
          <w14:ligatures w14:val="none"/>
        </w:rPr>
        <w:t>monografie</w:t>
      </w:r>
      <w:bookmarkEnd w:id="1"/>
    </w:p>
    <w:p w14:paraId="434FF3DA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6D4AD6D2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5. Posiadacz rzeczy ruchomej (pomijając rzeczy wpisane do krajowego rejestru utraconych dóbr kultury) niebędący jej właścicielem nabywa własność, jeżeli posiada rzecz nieprzerwanie jako posiadacz samoistny:</w:t>
      </w:r>
    </w:p>
    <w:p w14:paraId="6B203451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od lat dziesięciu, nawet jeśli posiada ją w złej wierze</w:t>
      </w:r>
    </w:p>
    <w:p w14:paraId="4D83F558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b) od lat trzech, jeśli posiada ją w dobrej wierze</w:t>
      </w:r>
    </w:p>
    <w:p w14:paraId="5A681CCA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c) od pięciu lat, nawet jeśli posiada ją w złej wierze.</w:t>
      </w:r>
    </w:p>
    <w:p w14:paraId="672559D5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1EF4222A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6. Do czynności zwykłego zarządu rzeczą wspólną potrzebna jest zgoda:</w:t>
      </w:r>
    </w:p>
    <w:p w14:paraId="16CF5A4F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większości współwłaścicieli,</w:t>
      </w:r>
    </w:p>
    <w:p w14:paraId="2BC85341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b) wszystkich współwłaścicieli,</w:t>
      </w:r>
    </w:p>
    <w:p w14:paraId="3F2EB430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 xml:space="preserve">c) kwalifikowanej większości 3/5 współwłaścicieli. </w:t>
      </w:r>
    </w:p>
    <w:p w14:paraId="7DC36B87" w14:textId="77777777" w:rsidR="00076B44" w:rsidRPr="005D73AE" w:rsidRDefault="00076B44" w:rsidP="00076B44">
      <w:pPr>
        <w:spacing w:after="200"/>
        <w:ind w:left="0" w:right="0" w:firstLine="0"/>
        <w:rPr>
          <w:rFonts w:eastAsia="Calibri" w:cs="Times New Roman"/>
          <w:kern w:val="0"/>
          <w14:ligatures w14:val="none"/>
        </w:rPr>
      </w:pPr>
    </w:p>
    <w:p w14:paraId="4D010EEE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7. Jeżeli kilka osób ponosi odpowiedzialność za szkodę wyrządzoną czynem niedozwolonym, ich odpowiedzialność jest:</w:t>
      </w:r>
    </w:p>
    <w:p w14:paraId="3CA6A816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solidarna,</w:t>
      </w:r>
    </w:p>
    <w:p w14:paraId="608B35D9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 xml:space="preserve">b) oparta o konstrukcję odpowiedzialności </w:t>
      </w:r>
      <w:r w:rsidRPr="005D73AE">
        <w:rPr>
          <w:rFonts w:eastAsia="Calibri" w:cs="Times New Roman"/>
          <w:i/>
          <w:kern w:val="0"/>
          <w14:ligatures w14:val="none"/>
        </w:rPr>
        <w:t xml:space="preserve">in </w:t>
      </w:r>
      <w:proofErr w:type="spellStart"/>
      <w:r w:rsidRPr="005D73AE">
        <w:rPr>
          <w:rFonts w:eastAsia="Calibri" w:cs="Times New Roman"/>
          <w:i/>
          <w:kern w:val="0"/>
          <w14:ligatures w14:val="none"/>
        </w:rPr>
        <w:t>solidum</w:t>
      </w:r>
      <w:proofErr w:type="spellEnd"/>
      <w:r w:rsidRPr="005D73AE">
        <w:rPr>
          <w:rFonts w:eastAsia="Calibri" w:cs="Times New Roman"/>
          <w:i/>
          <w:kern w:val="0"/>
          <w14:ligatures w14:val="none"/>
        </w:rPr>
        <w:t>,</w:t>
      </w:r>
    </w:p>
    <w:p w14:paraId="579DA836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c) zależna od stopnia ich przyczynienia się do szkody.</w:t>
      </w:r>
    </w:p>
    <w:p w14:paraId="564B0C69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18280E76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53BF7113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8. Zgodnie z art. 543 k.c. wystawienie rzeczy w miejscu sprzedaży na widok publiczny z oznaczeniem ceny uważa się za:</w:t>
      </w:r>
    </w:p>
    <w:p w14:paraId="7261C62F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lastRenderedPageBreak/>
        <w:t>a) zaproszenie do rokowań,</w:t>
      </w:r>
    </w:p>
    <w:p w14:paraId="2BFCE293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b) ofertę sprzedaży,</w:t>
      </w:r>
    </w:p>
    <w:p w14:paraId="1F8CF1A7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c) reklamę.</w:t>
      </w:r>
    </w:p>
    <w:p w14:paraId="7D1F5BBF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370FA48D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6E2879EE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9. W braku małżonka spadkodawcy i krewnych, powołanych do dziedziczenia z ustawy, spadek przypada:</w:t>
      </w:r>
    </w:p>
    <w:p w14:paraId="21DA8EF5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w częściach równych tym dzieciom małżonka spadkodawcy, których żadne z rodziców nie dożyło chwili otwarcia spadku,</w:t>
      </w:r>
    </w:p>
    <w:p w14:paraId="58AB0B45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b) Skarbowi Państwa jako spadkobiercy ustawowemu,</w:t>
      </w:r>
    </w:p>
    <w:p w14:paraId="34DC2DBC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c) gminie ostatniego miejsca zamieszkania spadkodawcy jako spadkobiercy ustawowemu.</w:t>
      </w:r>
    </w:p>
    <w:p w14:paraId="7DD34CB3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2E327334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 xml:space="preserve">10. Wniosek o doręczenie orzeczenia z uzasadnieniem zgłoszony w terminie tygodnia od dnia ogłoszenia albo doręczenia tego orzeczenia: </w:t>
      </w:r>
    </w:p>
    <w:p w14:paraId="607A5540" w14:textId="77777777" w:rsidR="00076B44" w:rsidRPr="005D73AE" w:rsidRDefault="00076B44" w:rsidP="00076B44">
      <w:pPr>
        <w:numPr>
          <w:ilvl w:val="0"/>
          <w:numId w:val="9"/>
        </w:numPr>
        <w:spacing w:after="0" w:line="276" w:lineRule="auto"/>
        <w:ind w:right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podlega opłacie sądowej 40 zł,</w:t>
      </w:r>
    </w:p>
    <w:p w14:paraId="50255D67" w14:textId="77777777" w:rsidR="00076B44" w:rsidRPr="005D73AE" w:rsidRDefault="00076B44" w:rsidP="00076B44">
      <w:pPr>
        <w:numPr>
          <w:ilvl w:val="0"/>
          <w:numId w:val="9"/>
        </w:numPr>
        <w:spacing w:after="0" w:line="276" w:lineRule="auto"/>
        <w:ind w:right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podlega opłacie sądowej 100 zł,</w:t>
      </w:r>
    </w:p>
    <w:p w14:paraId="447D1A80" w14:textId="77777777" w:rsidR="00076B44" w:rsidRPr="005D73AE" w:rsidRDefault="00076B44" w:rsidP="00076B44">
      <w:pPr>
        <w:numPr>
          <w:ilvl w:val="0"/>
          <w:numId w:val="9"/>
        </w:numPr>
        <w:spacing w:after="0" w:line="276" w:lineRule="auto"/>
        <w:ind w:right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nie podlega opłacie sądowej.</w:t>
      </w:r>
    </w:p>
    <w:p w14:paraId="0E6E716D" w14:textId="77777777" w:rsidR="00076B44" w:rsidRPr="005D73AE" w:rsidRDefault="00076B44" w:rsidP="00076B44">
      <w:pPr>
        <w:spacing w:after="0"/>
        <w:ind w:left="720" w:right="0" w:firstLine="0"/>
        <w:rPr>
          <w:rFonts w:eastAsia="Calibri" w:cs="Times New Roman"/>
          <w:kern w:val="0"/>
          <w14:ligatures w14:val="none"/>
        </w:rPr>
      </w:pPr>
    </w:p>
    <w:p w14:paraId="3E021CAB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11. W razie braku uiszczenia w wyznaczonym terminie przez stronę, która złożyła wniosek o dowód z opinii biegłego, zaliczki na wynagrodzenie biegłego sąd:</w:t>
      </w:r>
    </w:p>
    <w:p w14:paraId="72129D31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pominie ten dowód,</w:t>
      </w:r>
    </w:p>
    <w:p w14:paraId="4F254F2B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b) oddali wniosek o dowód z opinii biegłego,</w:t>
      </w:r>
    </w:p>
    <w:p w14:paraId="655B13E3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c)  musi zawsze przeprowadzić ten dowód, rozliczając koszty związane z opinią biegłego w orzeczeniu kończącym postępowanie.</w:t>
      </w:r>
    </w:p>
    <w:p w14:paraId="7216E18D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</w:p>
    <w:p w14:paraId="72D7C240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12. Na zgodny wniosek stron:</w:t>
      </w:r>
    </w:p>
    <w:p w14:paraId="5A43FDF8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sąd zobowiązany jest do odroczenia posiedzenia,</w:t>
      </w:r>
    </w:p>
    <w:p w14:paraId="7D730282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b) sąd nigdy nie może odroczyć posiedzenia</w:t>
      </w:r>
    </w:p>
    <w:p w14:paraId="40343940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c) sąd może odroczyć posiedzenie, ale tylko z ważnej przyczyny.</w:t>
      </w:r>
    </w:p>
    <w:p w14:paraId="2E852830" w14:textId="77777777" w:rsidR="00076B44" w:rsidRPr="005D73AE" w:rsidRDefault="00076B44" w:rsidP="00076B44">
      <w:pPr>
        <w:spacing w:after="200"/>
        <w:ind w:left="0" w:right="0" w:firstLine="0"/>
        <w:rPr>
          <w:rFonts w:eastAsia="Calibri" w:cs="Times New Roman"/>
          <w:kern w:val="0"/>
          <w14:ligatures w14:val="none"/>
        </w:rPr>
      </w:pPr>
    </w:p>
    <w:p w14:paraId="45638E68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 xml:space="preserve">13. Z chwilą doręczenia pozwu: </w:t>
      </w:r>
    </w:p>
    <w:p w14:paraId="175B04E0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nie można w toku sprawy wszcząć pomiędzy tymi samymi stronami nowego postępowania o to samo roszczenie;</w:t>
      </w:r>
    </w:p>
    <w:p w14:paraId="19D6B7BB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b) skierowanie stron do mediacji jest niedopuszczalne,</w:t>
      </w:r>
    </w:p>
    <w:p w14:paraId="5D5336CE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c) powód nie może dokonać zmiany powództwa.</w:t>
      </w:r>
    </w:p>
    <w:p w14:paraId="5C6A6DAD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79FE74D0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14. W razie nieusprawiedliwionego niestawiennictwa strony prawidłowo wezwanej celem przesłuchania, sąd:</w:t>
      </w:r>
    </w:p>
    <w:p w14:paraId="31D45024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może skazać ją na grzywnę,</w:t>
      </w:r>
    </w:p>
    <w:p w14:paraId="3913433B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 xml:space="preserve">b) może nakazać jej przymusowe doprowadzenie do sądu, </w:t>
      </w:r>
    </w:p>
    <w:p w14:paraId="3306F338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c) nie może zastosować wobec niej żadnego środku przymusu.</w:t>
      </w:r>
    </w:p>
    <w:p w14:paraId="2CAD7B72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16657E90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4EB50BFD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15. Od wyroku zaocznego zasądzającego w całości roszczenie przysługuje pozwanemu:</w:t>
      </w:r>
    </w:p>
    <w:p w14:paraId="1299D329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apelacja,</w:t>
      </w:r>
    </w:p>
    <w:p w14:paraId="3246951A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b) sprzeciw,</w:t>
      </w:r>
    </w:p>
    <w:p w14:paraId="58D2CBAE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c) zarzuty.</w:t>
      </w:r>
    </w:p>
    <w:p w14:paraId="29DCA5C2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16. Uzupełnienie wyroku następuje:</w:t>
      </w:r>
    </w:p>
    <w:p w14:paraId="10CFCB43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tylko z urzędu,</w:t>
      </w:r>
    </w:p>
    <w:p w14:paraId="0EB57D45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lastRenderedPageBreak/>
        <w:t>b) tylko na wniosek,</w:t>
      </w:r>
    </w:p>
    <w:p w14:paraId="63936ED2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 xml:space="preserve">c) z urzędu jak i na wniosek.  </w:t>
      </w:r>
    </w:p>
    <w:p w14:paraId="2A0F5551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</w:p>
    <w:p w14:paraId="2948D4E7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</w:p>
    <w:p w14:paraId="6A1C588A" w14:textId="77777777" w:rsidR="00076B44" w:rsidRPr="005D73AE" w:rsidRDefault="00076B44" w:rsidP="00076B44">
      <w:pPr>
        <w:spacing w:after="0"/>
        <w:ind w:left="567" w:right="0" w:firstLine="0"/>
        <w:rPr>
          <w:rFonts w:eastAsia="Calibri" w:cs="Times New Roman"/>
          <w:kern w:val="0"/>
          <w14:ligatures w14:val="none"/>
        </w:rPr>
      </w:pPr>
    </w:p>
    <w:p w14:paraId="5C7D8FEE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17. Na postanowienie sądu pierwszej instancji o odrzuceniu skargi na orzeczenie referendarza sądowego przysługuje:</w:t>
      </w:r>
    </w:p>
    <w:p w14:paraId="58078995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zażalenie,</w:t>
      </w:r>
    </w:p>
    <w:p w14:paraId="3435F717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b) sprzeciw,</w:t>
      </w:r>
    </w:p>
    <w:p w14:paraId="1554FEA8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c) nie przysługuje żaden środek zaskarżenia.</w:t>
      </w:r>
    </w:p>
    <w:p w14:paraId="78BA2993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18D9F599" w14:textId="77777777" w:rsidR="00076B44" w:rsidRPr="005D73AE" w:rsidRDefault="00076B44" w:rsidP="00076B44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18.  Dowód, że osoba, która uzyskała stwierdzenie nabycia spadku, nie jest spadkobiercą lub że jej udział w spadku jest inny niż stwierdzony, może być przeprowadzony:</w:t>
      </w:r>
    </w:p>
    <w:p w14:paraId="7CAFB888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a) tylko w postępowaniu o uchylenie lub zmianę stwierdzenia nabycia spadku;</w:t>
      </w:r>
    </w:p>
    <w:p w14:paraId="7C474452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b) tylko w postępowaniu ze skargi o wznowienie postępowania w przedmiocie stwierdzenia nabycia spadku,</w:t>
      </w:r>
    </w:p>
    <w:p w14:paraId="5514F500" w14:textId="77777777" w:rsidR="00076B44" w:rsidRPr="005D73AE" w:rsidRDefault="00076B44" w:rsidP="00076B44">
      <w:pPr>
        <w:spacing w:after="0"/>
        <w:ind w:left="426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c) w powództwie o ustalenie, że osoba, która uzyskała stwierdzenie nabycia spadku, nie jest spadkobiercą lub że jej udział w spadku jest inny niż stwierdzony.</w:t>
      </w:r>
    </w:p>
    <w:p w14:paraId="2007DA8B" w14:textId="77777777" w:rsidR="00076B44" w:rsidRPr="005D73AE" w:rsidRDefault="00076B44" w:rsidP="00076B44">
      <w:pPr>
        <w:spacing w:after="20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238C86A" w14:textId="77777777" w:rsidR="00076B44" w:rsidRPr="005D73AE" w:rsidRDefault="00076B44" w:rsidP="00076B44">
      <w:pPr>
        <w:spacing w:after="160" w:line="360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 xml:space="preserve">W dniu 2 lipca 2019 r. Komornik Sądowy przy Sądzie Rejonowym dla Warszawy – Śródmieścia w Warszawie Jan Kowalski wszczął na wniosek wierzyciela Adam Jabłońskiego postępowanie egzekucyjne o egzekucję świadczenia pieniężnego przeciwko dłużniczce Annie Jaworskiej z wynagrodzenia za pracę, doręczając jej w dniu 9 lipca 2019r. zawiadomienie o wszczęciu egzekucji.  </w:t>
      </w:r>
    </w:p>
    <w:p w14:paraId="376D6579" w14:textId="77777777" w:rsidR="00076B44" w:rsidRPr="005D73AE" w:rsidRDefault="00076B44" w:rsidP="00076B44">
      <w:pPr>
        <w:spacing w:after="160" w:line="360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Dnia 22 lipca 2019 r. bezpośrednio do komornika sądowego dłużniczka wniosła skargę na powyższą czynność komornika.</w:t>
      </w:r>
    </w:p>
    <w:p w14:paraId="7ADA9A10" w14:textId="77777777" w:rsidR="00076B44" w:rsidRPr="005D73AE" w:rsidRDefault="00076B44" w:rsidP="00076B44">
      <w:pPr>
        <w:spacing w:after="160" w:line="360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Po przekazaniu skargi do Sądu Rejonowego dla Warszawy – Śródmieścia w Warszawie, referendarz sądowy w tym sądzie, dnia 13 sierpnia 2019 r. wydał postanowienie o odrzuceniu skargi na czynność komornika z uwagi na wniesienie jej po przepisanym terminie. Wskazał, że skarga powinna być wniesiona w terminie tygodniowym od dnia doręczenia dłużniczce zawiadomienia o czynności komornika, zatem do dnia 16 lipca 2019 r.</w:t>
      </w:r>
    </w:p>
    <w:p w14:paraId="2F55401D" w14:textId="77777777" w:rsidR="00076B44" w:rsidRPr="005D73AE" w:rsidRDefault="00076B44" w:rsidP="00076B44">
      <w:pPr>
        <w:spacing w:after="160" w:line="360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Odpis postanowienia referendarza sądowego doręczono dłużniczce dnia 21 sierpnia 2019r., która na powyższe postanowienie referendarza sądowego wniosła dnia 30 sierpnia 2019r. skargę do Sądu Rejonowego dla Warszawy – Śródmieścia w Warszawie. Zarzuciła, że termin do wniesienia skargi na czynność komornika wnosi się w terminie 14 dni od dnia doręczenia zawiadomienia o czynności komornika, zatem termin mijał dnia 23 lipca 2019r.</w:t>
      </w:r>
    </w:p>
    <w:p w14:paraId="55C3F34E" w14:textId="33D71C30" w:rsidR="00B34EC7" w:rsidRPr="005D73AE" w:rsidRDefault="00076B44" w:rsidP="005D73AE">
      <w:pPr>
        <w:spacing w:after="16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5D73AE">
        <w:rPr>
          <w:rFonts w:eastAsia="Calibri" w:cs="Times New Roman"/>
          <w:kern w:val="0"/>
          <w14:ligatures w14:val="none"/>
        </w:rPr>
        <w:t>Proszę zaprojektować orzeczenie sądu wraz z uzasadnieniem.</w:t>
      </w:r>
    </w:p>
    <w:sectPr w:rsidR="00B34EC7" w:rsidRPr="005D7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7CF7"/>
    <w:multiLevelType w:val="hybridMultilevel"/>
    <w:tmpl w:val="BCFEF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1D841FF"/>
    <w:multiLevelType w:val="hybridMultilevel"/>
    <w:tmpl w:val="D3446174"/>
    <w:lvl w:ilvl="0" w:tplc="3CAAD6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30CBE"/>
    <w:multiLevelType w:val="hybridMultilevel"/>
    <w:tmpl w:val="2B56F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2174733"/>
    <w:multiLevelType w:val="hybridMultilevel"/>
    <w:tmpl w:val="DA72DB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14616324">
    <w:abstractNumId w:val="7"/>
  </w:num>
  <w:num w:numId="2" w16cid:durableId="244455794">
    <w:abstractNumId w:val="5"/>
  </w:num>
  <w:num w:numId="3" w16cid:durableId="1722825891">
    <w:abstractNumId w:val="5"/>
  </w:num>
  <w:num w:numId="4" w16cid:durableId="939677841">
    <w:abstractNumId w:val="1"/>
  </w:num>
  <w:num w:numId="5" w16cid:durableId="828248301">
    <w:abstractNumId w:val="2"/>
  </w:num>
  <w:num w:numId="6" w16cid:durableId="1828323537">
    <w:abstractNumId w:val="3"/>
  </w:num>
  <w:num w:numId="7" w16cid:durableId="886187118">
    <w:abstractNumId w:val="0"/>
  </w:num>
  <w:num w:numId="8" w16cid:durableId="1214728502">
    <w:abstractNumId w:val="4"/>
  </w:num>
  <w:num w:numId="9" w16cid:durableId="21361694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44"/>
    <w:rsid w:val="00076B44"/>
    <w:rsid w:val="0017340A"/>
    <w:rsid w:val="001F578F"/>
    <w:rsid w:val="003C5056"/>
    <w:rsid w:val="00404812"/>
    <w:rsid w:val="004E23CD"/>
    <w:rsid w:val="005D73AE"/>
    <w:rsid w:val="00886BAA"/>
    <w:rsid w:val="009A74E1"/>
    <w:rsid w:val="00B34EC7"/>
    <w:rsid w:val="00BB48D1"/>
    <w:rsid w:val="00C2361A"/>
    <w:rsid w:val="00C32AF7"/>
    <w:rsid w:val="00C66091"/>
    <w:rsid w:val="00D439EA"/>
    <w:rsid w:val="00D85D66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54C9"/>
  <w15:chartTrackingRefBased/>
  <w15:docId w15:val="{4109A209-FB36-4345-9622-83DF07C5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B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B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B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B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B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B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B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076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B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B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B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B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B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B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B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B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B44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B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B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B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B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B4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B4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B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829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2026-07-22T10:14:00Z</dcterms:created>
  <dcterms:modified xsi:type="dcterms:W3CDTF">2026-07-29T08:40:00Z</dcterms:modified>
</cp:coreProperties>
</file>