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442" w:rsidRDefault="00F36A4E" w:rsidP="00857442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36A4E">
        <w:rPr>
          <w:rFonts w:ascii="Times New Roman" w:hAnsi="Times New Roman"/>
          <w:b/>
          <w:sz w:val="28"/>
          <w:szCs w:val="28"/>
        </w:rPr>
        <w:t>Pytania z zakresu prawa cywilnego</w:t>
      </w:r>
    </w:p>
    <w:p w:rsidR="00F36A4E" w:rsidRPr="00F36A4E" w:rsidRDefault="00F36A4E" w:rsidP="0085744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57442" w:rsidRDefault="00857442" w:rsidP="00857442">
      <w:pPr>
        <w:numPr>
          <w:ilvl w:val="0"/>
          <w:numId w:val="1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Świadkiem przy sporządzaniu testamentu może być:</w:t>
      </w:r>
    </w:p>
    <w:p w:rsidR="00857442" w:rsidRDefault="00857442" w:rsidP="00857442">
      <w:pPr>
        <w:pStyle w:val="Akapitzlist"/>
        <w:numPr>
          <w:ilvl w:val="0"/>
          <w:numId w:val="2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zstępny testatora,</w:t>
      </w:r>
    </w:p>
    <w:p w:rsidR="00857442" w:rsidRDefault="00857442" w:rsidP="00857442">
      <w:pPr>
        <w:numPr>
          <w:ilvl w:val="0"/>
          <w:numId w:val="2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skazany prawomocnie wyrokiem sądowym za fałszywe zeznania,</w:t>
      </w:r>
    </w:p>
    <w:p w:rsidR="00857442" w:rsidRDefault="00857442" w:rsidP="00857442">
      <w:pPr>
        <w:pStyle w:val="Akapitzlist"/>
        <w:numPr>
          <w:ilvl w:val="0"/>
          <w:numId w:val="2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osoba, dla której przewidziano w testamencie jakąkolwiek korzyść. </w:t>
      </w:r>
    </w:p>
    <w:p w:rsidR="00857442" w:rsidRDefault="00857442" w:rsidP="0085744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Terminu przedawnienia nie przerywa:</w:t>
      </w:r>
    </w:p>
    <w:p w:rsidR="00857442" w:rsidRDefault="00857442" w:rsidP="00857442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uznanie roszczenia przez osobę, przeciwko której roszczenie przysługuje, </w:t>
      </w:r>
    </w:p>
    <w:p w:rsidR="00857442" w:rsidRDefault="00857442" w:rsidP="00857442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wszczęcie mediacji,</w:t>
      </w:r>
    </w:p>
    <w:p w:rsidR="00857442" w:rsidRDefault="00857442" w:rsidP="00857442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każda czynność dokonana przed sądem lub innym organem powołanym do rozpoznawania spraw lub egzekwowania roszczeń danego rodzaju albo przed sądem polubownym.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Zobowiązanie jest solidarne gdy:</w:t>
      </w:r>
    </w:p>
    <w:p w:rsidR="00857442" w:rsidRDefault="00857442" w:rsidP="00857442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kilku dłużników jest zobowiązanych w ten sposób, że wierzyciel może żądać całości lub części świadczenia tylko od wszystkich dłużników łącznie, a zaspokojenie wierzyciela przez jednego z dłużników nie zwalnia pozostałych,</w:t>
      </w:r>
    </w:p>
    <w:p w:rsidR="00857442" w:rsidRDefault="00857442" w:rsidP="00857442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kilku dłużników jest zobowiązanych w ten sposób, że wierzyciel może żądać całości lub części świadczenia tylko od kilku z nich lub od każdego z osobna, ale nie od wszystkich łącznie, a zaspokojenie wierzyciela przez któregokolwiek z dłużników zwalnia pozostałych,</w:t>
      </w:r>
    </w:p>
    <w:p w:rsidR="00857442" w:rsidRDefault="00857442" w:rsidP="00857442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kilku dłużników jest zobowiązanych w ten sposób, że wierzyciel może żądać całości lub części świadczenia od wszystkich dłużników łącznie, od kilku z nich lub od każdego z osobna, a zaspokojenie wierzyciela przez któregokolwiek z dłużników zwalnia pozostałych.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Wierzyciel:</w:t>
      </w:r>
    </w:p>
    <w:p w:rsidR="00857442" w:rsidRDefault="00857442" w:rsidP="008574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a)  może tylko za zgodą dłużnika przenieść wierzytelność na osobę trzecią,</w:t>
      </w:r>
    </w:p>
    <w:p w:rsidR="00857442" w:rsidRDefault="00857442" w:rsidP="008574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b) może bez zgody dłużnika przenieść wierzytelność na osobę trzecią, chyba że sprzeciwiałoby się to ustawie, zastrzeżeniu umownemu albo właściwości zobowiązania,</w:t>
      </w:r>
    </w:p>
    <w:p w:rsidR="00857442" w:rsidRDefault="00857442" w:rsidP="008574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c) może przenieść wierzytelność bez zgody dłużnika jeśli wartość świadczenia nie przekracza kwoty 10 000 zł.</w:t>
      </w:r>
    </w:p>
    <w:p w:rsidR="00857442" w:rsidRDefault="00857442" w:rsidP="008574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Które twierdzenie nie jest prawdziwe:</w:t>
      </w:r>
    </w:p>
    <w:p w:rsidR="00857442" w:rsidRDefault="00857442" w:rsidP="0085744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przez zawarcie małżeństwa małoletni uzyskuje pełnoletniość,</w:t>
      </w:r>
    </w:p>
    <w:p w:rsidR="00857442" w:rsidRDefault="00857442" w:rsidP="0085744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czynność prawna dokonana przez osobę, która nie ma zdolności do czynności prawnych jest nieważna,</w:t>
      </w:r>
    </w:p>
    <w:p w:rsidR="00857442" w:rsidRDefault="00857442" w:rsidP="0085744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ograniczoną zdolność do czynności prawnych mają osoby, które ukończyły lat 13 oraz osoby ubezwłasnowolnione całkowicie.</w:t>
      </w:r>
    </w:p>
    <w:p w:rsidR="00857442" w:rsidRDefault="00857442" w:rsidP="00857442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numPr>
          <w:ilvl w:val="0"/>
          <w:numId w:val="1"/>
        </w:numPr>
        <w:tabs>
          <w:tab w:val="num" w:pos="795"/>
        </w:tabs>
        <w:spacing w:after="0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Jeżeli miejsce spełnienia świadczenie pieniężnego nie jest oznaczone ani nie wynika z właściwości zobowiązania to świadczenie to powinno być spełnione:</w:t>
      </w:r>
    </w:p>
    <w:p w:rsidR="00857442" w:rsidRDefault="00857442" w:rsidP="00857442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miejscu, gdzie w chwili powstania zobowiązania dłużnik miał miejsce zamieszkania lub siedzibę,</w:t>
      </w:r>
    </w:p>
    <w:p w:rsidR="00857442" w:rsidRDefault="00857442" w:rsidP="00857442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 miejscu, gdzie w chwili powstania zobowiązania wierzyciel miał miejsce zamieszkania lub siedzibę,</w:t>
      </w:r>
    </w:p>
    <w:p w:rsidR="00857442" w:rsidRDefault="00857442" w:rsidP="00857442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miejscu, gdzie w chwili spełnienia świadczenia wierzyciel ma miejsce zamieszkania lub siedzibę.</w:t>
      </w:r>
    </w:p>
    <w:p w:rsidR="00857442" w:rsidRDefault="00857442" w:rsidP="00857442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numPr>
          <w:ilvl w:val="0"/>
          <w:numId w:val="1"/>
        </w:numPr>
        <w:tabs>
          <w:tab w:val="num" w:pos="795"/>
        </w:tabs>
        <w:spacing w:after="0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Jeżeli powstał spór, kto jest wierzycielem to dłużnik:</w:t>
      </w:r>
    </w:p>
    <w:p w:rsidR="00857442" w:rsidRDefault="00857442" w:rsidP="00857442">
      <w:pPr>
        <w:numPr>
          <w:ilvl w:val="0"/>
          <w:numId w:val="7"/>
        </w:numPr>
        <w:spacing w:after="0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może złożyć przedmiot świadczenia do depozytu sądowego, </w:t>
      </w:r>
    </w:p>
    <w:p w:rsidR="00857442" w:rsidRDefault="00857442" w:rsidP="00857442">
      <w:pPr>
        <w:numPr>
          <w:ilvl w:val="0"/>
          <w:numId w:val="7"/>
        </w:numPr>
        <w:spacing w:after="0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powinien świadczyć jednemu z wierzycieli będących w sporze, </w:t>
      </w:r>
    </w:p>
    <w:p w:rsidR="00857442" w:rsidRDefault="00857442" w:rsidP="00857442">
      <w:pPr>
        <w:numPr>
          <w:ilvl w:val="0"/>
          <w:numId w:val="7"/>
        </w:numPr>
        <w:spacing w:after="0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jest zwolniony z zobowiązania.</w:t>
      </w:r>
    </w:p>
    <w:p w:rsidR="00857442" w:rsidRDefault="00857442" w:rsidP="00857442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numPr>
          <w:ilvl w:val="0"/>
          <w:numId w:val="1"/>
        </w:numPr>
        <w:tabs>
          <w:tab w:val="num" w:pos="795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zasiedzenia własności ruchomości przez posiadacza samoistnego wymagany jest:</w:t>
      </w:r>
    </w:p>
    <w:p w:rsidR="00857442" w:rsidRDefault="00857442" w:rsidP="00857442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upływ okresu 3 lat bez względu na to czy posiadacz jest w złej czy dobrej wierze,,</w:t>
      </w:r>
    </w:p>
    <w:p w:rsidR="00857442" w:rsidRDefault="00857442" w:rsidP="00857442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upływ okresu 3 lat i istnienie dobrej wiary po stronie posiadacza,</w:t>
      </w:r>
    </w:p>
    <w:p w:rsidR="00857442" w:rsidRDefault="00857442" w:rsidP="00857442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upływ okresu 10 lat i istnienie dobrej wiary po stronie posiadacza.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7442" w:rsidRDefault="00857442" w:rsidP="00857442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małżonek zaciągnął zobowiązanie bez zgody drugiego małżonka to:</w:t>
      </w:r>
    </w:p>
    <w:p w:rsidR="00857442" w:rsidRDefault="00857442" w:rsidP="00857442">
      <w:pPr>
        <w:pStyle w:val="Akapitzlist"/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wierzyciel może żądać zaspokojenia także z majątku wspólnego małżonków,</w:t>
      </w:r>
    </w:p>
    <w:p w:rsidR="00857442" w:rsidRDefault="00857442" w:rsidP="00857442">
      <w:pPr>
        <w:pStyle w:val="Akapitzlist"/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wierzyciel może żądać zaspokojenia z majątku osobistego dłużnika, z wynagrodzenia za pracę lub z dochodów uzyskanych przez dłużnika z innej działalności zarobkowej, </w:t>
      </w:r>
    </w:p>
    <w:p w:rsidR="00857442" w:rsidRDefault="00857442" w:rsidP="00857442">
      <w:pPr>
        <w:pStyle w:val="Akapitzlist"/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taka czynność prawna jest nieważna. </w:t>
      </w:r>
    </w:p>
    <w:p w:rsidR="00857442" w:rsidRDefault="00857442" w:rsidP="00857442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857442" w:rsidRDefault="00857442" w:rsidP="00857442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Powództwo o zaprzeczenie macierzyństwa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kobieta wpisana w akcie urodzenia dziecka jako jego matka wytacza</w:t>
      </w:r>
      <w:r>
        <w:rPr>
          <w:rFonts w:ascii="Times New Roman" w:hAnsi="Times New Roman"/>
          <w:sz w:val="24"/>
          <w:szCs w:val="24"/>
        </w:rPr>
        <w:t xml:space="preserve"> przeciwko:</w:t>
      </w:r>
    </w:p>
    <w:p w:rsidR="00857442" w:rsidRDefault="00857442" w:rsidP="00857442">
      <w:pPr>
        <w:pStyle w:val="Akapitzlist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kuratorowi ustanowionemu przez sąd opiekuńczy,</w:t>
      </w:r>
    </w:p>
    <w:p w:rsidR="00857442" w:rsidRDefault="00857442" w:rsidP="00857442">
      <w:pPr>
        <w:pStyle w:val="Akapitzlist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dziecku,</w:t>
      </w:r>
    </w:p>
    <w:p w:rsidR="00857442" w:rsidRDefault="00857442" w:rsidP="00857442">
      <w:pPr>
        <w:pStyle w:val="Akapitzlist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dziecku i matce.</w:t>
      </w:r>
    </w:p>
    <w:p w:rsidR="00857442" w:rsidRDefault="00857442" w:rsidP="00857442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57442" w:rsidRDefault="00857442" w:rsidP="0085744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Jeżeli droga sądowa jest niedopuszczalna Sąd:</w:t>
      </w:r>
    </w:p>
    <w:p w:rsidR="00857442" w:rsidRDefault="00857442" w:rsidP="0085744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odrzuca pozew,</w:t>
      </w:r>
    </w:p>
    <w:p w:rsidR="00857442" w:rsidRDefault="00857442" w:rsidP="0085744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oddala powództwo,</w:t>
      </w:r>
    </w:p>
    <w:p w:rsidR="00857442" w:rsidRDefault="00857442" w:rsidP="0085744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zwraca pozew.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Wyrok zaoczny może być wydany gdy:</w:t>
      </w:r>
    </w:p>
    <w:p w:rsidR="00857442" w:rsidRDefault="00857442" w:rsidP="00857442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pozwany złożył wyjaśnienia na piśmie, ale nie stawił się na posiedzenie wyznaczone na rozprawę, albo mimo stawienia się nie bierze w niej udziału,</w:t>
      </w:r>
    </w:p>
    <w:p w:rsidR="00857442" w:rsidRDefault="00857442" w:rsidP="00857442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pozwany nie stawił się na posiedzenie wyznaczone na rozprawę, ale na piśmie uznał powództwo,</w:t>
      </w:r>
    </w:p>
    <w:p w:rsidR="00857442" w:rsidRDefault="00857442" w:rsidP="00857442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pozwany nie stawił się na posiedzenie wyznaczone na rozprawę albo mimo stawienia się nie bierze udziału w rozprawie, jak również nie żądał przeprowadzenia rozprawy w swej nieobecności i nie składał już w sprawie wyjaśnienia ustnie lub na piśmie.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Nakaz zapłaty w postępowaniu upominawczym nie może być wydany, jeżeli według treści pozwu:</w:t>
      </w:r>
    </w:p>
    <w:p w:rsidR="00857442" w:rsidRDefault="00857442" w:rsidP="00857442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zaspokojenie roszczenia zależy od świadczenia wzajemnego,</w:t>
      </w:r>
    </w:p>
    <w:p w:rsidR="00857442" w:rsidRDefault="00857442" w:rsidP="00857442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>powód dochodzi roszczenia wynikającego z umów, jeżeli wartość przedmiotu sporu przekracza dziesięć tysięcy złotych,</w:t>
      </w:r>
    </w:p>
    <w:p w:rsidR="00857442" w:rsidRDefault="00857442" w:rsidP="00857442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jeżeli z treści pozwu wynika, że pozwanym jest więcej niż jedna osoba.</w:t>
      </w:r>
    </w:p>
    <w:p w:rsidR="00857442" w:rsidRDefault="00857442" w:rsidP="00857442">
      <w:pPr>
        <w:pStyle w:val="Akapitzlist"/>
        <w:spacing w:after="0"/>
        <w:ind w:left="0"/>
        <w:rPr>
          <w:rFonts w:ascii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Od nakazu zapłaty wydanego w postępowaniu upominawczym przysługuje(ą):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a) apelacja,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b) sprzeciw,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c) zarzuty.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Zabezpieczenie roszczeń pieniężnych nie może nastąpić przez: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a)   zajęcie ruchomości, wynagrodzenia za pracę, wierzytelności z rachunku bankowego albo innej wierzytelności lub innego prawa majątkowego;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b)  ustanowienie zakazu zbywania lub obciążania nieruchomości, która ma urządzoną księgę wieczystej lub której księga wieczysta zaginęła lub uległa zniszczeniu;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c)  ustanowienie zakazu zbywania spółdzielczego własnościowego prawa do lokalu;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Tytułami wykonawczymi są między innymi:</w:t>
      </w:r>
    </w:p>
    <w:p w:rsidR="00857442" w:rsidRDefault="00857442" w:rsidP="00857442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orzeczenia sądu, bez nadawania im klauzuli wykonalności, </w:t>
      </w:r>
    </w:p>
    <w:p w:rsidR="00857442" w:rsidRDefault="00857442" w:rsidP="00857442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prawomocne nakazy zapłaty wydane w postępowaniu upominawczym, którym nadano klauzulę wykonalności,</w:t>
      </w:r>
    </w:p>
    <w:p w:rsidR="00857442" w:rsidRDefault="00857442" w:rsidP="00857442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inne orzeczenia, ugody i akty, które z mocy ustawy podlegają wykonaniu w drodze egzekucji sądowej, bez nadawania im klauzuli wykonalności;</w:t>
      </w:r>
    </w:p>
    <w:p w:rsidR="00857442" w:rsidRDefault="00857442" w:rsidP="00857442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pStyle w:val="Akapitzlist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Do właściwości sądów okręgowych nie należą sprawy:</w:t>
      </w:r>
    </w:p>
    <w:p w:rsidR="00857442" w:rsidRDefault="00857442" w:rsidP="00857442">
      <w:pPr>
        <w:pStyle w:val="Akapitzlist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pStyle w:val="Akapitzlist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 prawa niemajątkowe i łącznie z nimi dochodzone roszczenia majątkowe oprócz spraw o ustalenie lub zaprzeczenie pochodzenia dziecka, o ustalenie bezskuteczności uznania ojcostwa oraz o rozwiązanie przysposobienia;</w:t>
      </w:r>
    </w:p>
    <w:p w:rsidR="00857442" w:rsidRDefault="00857442" w:rsidP="00857442">
      <w:pPr>
        <w:pStyle w:val="Akapitzlist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roszczenia wynikające z </w:t>
      </w:r>
      <w:hyperlink r:id="rId5" w:anchor="hiperlinkText.rpc?hiperlink=type=tresc:nro=Powszechny.14258&amp;full=1" w:tgtFrame="_parent" w:history="1">
        <w:r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u w:val="none"/>
            <w:lang w:eastAsia="pl-PL"/>
          </w:rPr>
          <w:t>Prawa prasowego</w:t>
        </w:r>
      </w:hyperlink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857442" w:rsidRDefault="00857442" w:rsidP="00857442">
      <w:pPr>
        <w:pStyle w:val="Akapitzlist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 prawa majątkowe, w których wartość przedmiotu sporu jest niższa niż siedemdziesiąt pięć tysięcy złotych, </w:t>
      </w:r>
    </w:p>
    <w:p w:rsidR="00857442" w:rsidRDefault="00857442" w:rsidP="008574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pStyle w:val="Akapitzlist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Jeśli okaże się, że po wniesieniu pozwu powód zmarł Sąd:</w:t>
      </w:r>
    </w:p>
    <w:p w:rsidR="00857442" w:rsidRDefault="00857442" w:rsidP="0085744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zawiesi postępowanie,</w:t>
      </w:r>
    </w:p>
    <w:p w:rsidR="00857442" w:rsidRDefault="00857442" w:rsidP="0085744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umorzy postępowanie,</w:t>
      </w:r>
    </w:p>
    <w:p w:rsidR="00857442" w:rsidRDefault="00857442" w:rsidP="0085744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zobowiąże pozwanego do wskazania następców prawnych powoda.</w:t>
      </w:r>
    </w:p>
    <w:p w:rsidR="00857442" w:rsidRDefault="00857442" w:rsidP="00857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7442" w:rsidRDefault="00857442" w:rsidP="00857442">
      <w:pPr>
        <w:spacing w:after="0" w:line="240" w:lineRule="auto"/>
        <w:jc w:val="both"/>
        <w:rPr>
          <w:sz w:val="28"/>
          <w:szCs w:val="28"/>
        </w:rPr>
      </w:pPr>
    </w:p>
    <w:p w:rsidR="00857442" w:rsidRDefault="00857442" w:rsidP="00857442">
      <w:pPr>
        <w:spacing w:after="0" w:line="240" w:lineRule="auto"/>
        <w:jc w:val="both"/>
        <w:rPr>
          <w:sz w:val="28"/>
          <w:szCs w:val="28"/>
        </w:rPr>
      </w:pPr>
    </w:p>
    <w:p w:rsidR="00857442" w:rsidRDefault="00857442" w:rsidP="00857442">
      <w:pPr>
        <w:spacing w:after="0" w:line="240" w:lineRule="auto"/>
        <w:jc w:val="both"/>
        <w:rPr>
          <w:sz w:val="28"/>
          <w:szCs w:val="28"/>
        </w:rPr>
      </w:pPr>
    </w:p>
    <w:p w:rsidR="00E6521A" w:rsidRDefault="00E6521A" w:rsidP="00857442">
      <w:pPr>
        <w:spacing w:after="0" w:line="240" w:lineRule="auto"/>
        <w:jc w:val="both"/>
        <w:rPr>
          <w:sz w:val="28"/>
          <w:szCs w:val="28"/>
        </w:rPr>
      </w:pPr>
    </w:p>
    <w:p w:rsidR="00E6521A" w:rsidRDefault="00E6521A" w:rsidP="00857442">
      <w:pPr>
        <w:spacing w:after="0" w:line="240" w:lineRule="auto"/>
        <w:jc w:val="both"/>
        <w:rPr>
          <w:sz w:val="28"/>
          <w:szCs w:val="28"/>
        </w:rPr>
      </w:pPr>
    </w:p>
    <w:p w:rsidR="00E6521A" w:rsidRDefault="00E6521A" w:rsidP="00857442">
      <w:pPr>
        <w:spacing w:after="0" w:line="240" w:lineRule="auto"/>
        <w:jc w:val="both"/>
        <w:rPr>
          <w:sz w:val="28"/>
          <w:szCs w:val="28"/>
        </w:rPr>
      </w:pPr>
    </w:p>
    <w:p w:rsidR="00E6521A" w:rsidRDefault="00E6521A" w:rsidP="00857442">
      <w:pPr>
        <w:spacing w:after="0" w:line="240" w:lineRule="auto"/>
        <w:jc w:val="both"/>
        <w:rPr>
          <w:sz w:val="28"/>
          <w:szCs w:val="28"/>
        </w:rPr>
      </w:pPr>
    </w:p>
    <w:p w:rsidR="00E6521A" w:rsidRDefault="00E6521A" w:rsidP="00857442">
      <w:pPr>
        <w:spacing w:after="0" w:line="240" w:lineRule="auto"/>
        <w:jc w:val="both"/>
        <w:rPr>
          <w:sz w:val="28"/>
          <w:szCs w:val="28"/>
        </w:rPr>
      </w:pPr>
    </w:p>
    <w:p w:rsidR="00E6521A" w:rsidRDefault="00E6521A" w:rsidP="00857442">
      <w:pPr>
        <w:spacing w:after="0" w:line="240" w:lineRule="auto"/>
        <w:jc w:val="both"/>
        <w:rPr>
          <w:sz w:val="28"/>
          <w:szCs w:val="28"/>
        </w:rPr>
      </w:pPr>
    </w:p>
    <w:p w:rsidR="00E6521A" w:rsidRPr="00E6521A" w:rsidRDefault="00E6521A" w:rsidP="00E652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6521A">
        <w:rPr>
          <w:rFonts w:ascii="Times New Roman" w:hAnsi="Times New Roman"/>
          <w:b/>
          <w:sz w:val="28"/>
          <w:szCs w:val="28"/>
        </w:rPr>
        <w:t>TEMAT PRACY PISEMNEJ Z ZAKRESU PRAWA CYWILNEGO</w:t>
      </w:r>
    </w:p>
    <w:p w:rsidR="00857442" w:rsidRDefault="00857442" w:rsidP="00857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521A" w:rsidRDefault="00E6521A" w:rsidP="00857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521A" w:rsidRPr="00E6521A" w:rsidRDefault="00E6521A" w:rsidP="00857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521A" w:rsidRPr="00E6521A" w:rsidRDefault="00E6521A" w:rsidP="00E652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521A">
        <w:rPr>
          <w:rFonts w:ascii="Times New Roman" w:hAnsi="Times New Roman"/>
          <w:b/>
          <w:sz w:val="28"/>
          <w:szCs w:val="28"/>
        </w:rPr>
        <w:t xml:space="preserve">Proszę zaprojektować postanowienie Sądu, które Sąd zobowiązany jest podjąć w zaistniałym stanie faktycznym. </w:t>
      </w:r>
    </w:p>
    <w:p w:rsidR="00E6521A" w:rsidRPr="00E6521A" w:rsidRDefault="00E6521A" w:rsidP="00857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521A" w:rsidRPr="00E6521A" w:rsidRDefault="00E6521A" w:rsidP="00857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521A" w:rsidRPr="00E6521A" w:rsidRDefault="00E6521A" w:rsidP="00857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7442" w:rsidRPr="00E6521A" w:rsidRDefault="00857442" w:rsidP="00E652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521A">
        <w:rPr>
          <w:rFonts w:ascii="Times New Roman" w:hAnsi="Times New Roman"/>
          <w:sz w:val="28"/>
          <w:szCs w:val="28"/>
        </w:rPr>
        <w:t>W dniu 20</w:t>
      </w:r>
      <w:r w:rsidR="00E6521A">
        <w:rPr>
          <w:rFonts w:ascii="Times New Roman" w:hAnsi="Times New Roman"/>
          <w:sz w:val="28"/>
          <w:szCs w:val="28"/>
        </w:rPr>
        <w:t xml:space="preserve"> lipca 20</w:t>
      </w:r>
      <w:r w:rsidRPr="00E6521A">
        <w:rPr>
          <w:rFonts w:ascii="Times New Roman" w:hAnsi="Times New Roman"/>
          <w:sz w:val="28"/>
          <w:szCs w:val="28"/>
        </w:rPr>
        <w:t>16</w:t>
      </w:r>
      <w:r w:rsidR="00E6521A">
        <w:rPr>
          <w:rFonts w:ascii="Times New Roman" w:hAnsi="Times New Roman"/>
          <w:sz w:val="28"/>
          <w:szCs w:val="28"/>
        </w:rPr>
        <w:t xml:space="preserve"> </w:t>
      </w:r>
      <w:r w:rsidRPr="00E6521A">
        <w:rPr>
          <w:rFonts w:ascii="Times New Roman" w:hAnsi="Times New Roman"/>
          <w:sz w:val="28"/>
          <w:szCs w:val="28"/>
        </w:rPr>
        <w:t xml:space="preserve"> r</w:t>
      </w:r>
      <w:r w:rsidR="00E6521A">
        <w:rPr>
          <w:rFonts w:ascii="Times New Roman" w:hAnsi="Times New Roman"/>
          <w:sz w:val="28"/>
          <w:szCs w:val="28"/>
        </w:rPr>
        <w:t>oku</w:t>
      </w:r>
      <w:r w:rsidRPr="00E6521A">
        <w:rPr>
          <w:rFonts w:ascii="Times New Roman" w:hAnsi="Times New Roman"/>
          <w:sz w:val="28"/>
          <w:szCs w:val="28"/>
        </w:rPr>
        <w:t xml:space="preserve"> Jan Kowalski złożył pozew przeciwko Czesławowi Nowakowi o zapłatę kwoty 2</w:t>
      </w:r>
      <w:r w:rsidR="00E6521A">
        <w:rPr>
          <w:rFonts w:ascii="Times New Roman" w:hAnsi="Times New Roman"/>
          <w:sz w:val="28"/>
          <w:szCs w:val="28"/>
        </w:rPr>
        <w:t>.</w:t>
      </w:r>
      <w:r w:rsidRPr="00E6521A">
        <w:rPr>
          <w:rFonts w:ascii="Times New Roman" w:hAnsi="Times New Roman"/>
          <w:sz w:val="28"/>
          <w:szCs w:val="28"/>
        </w:rPr>
        <w:t xml:space="preserve">000 </w:t>
      </w:r>
      <w:r w:rsidR="00E6521A">
        <w:rPr>
          <w:rFonts w:ascii="Times New Roman" w:hAnsi="Times New Roman"/>
          <w:sz w:val="28"/>
          <w:szCs w:val="28"/>
        </w:rPr>
        <w:t xml:space="preserve">(dwa tysiące) </w:t>
      </w:r>
      <w:r w:rsidRPr="00E6521A">
        <w:rPr>
          <w:rFonts w:ascii="Times New Roman" w:hAnsi="Times New Roman"/>
          <w:sz w:val="28"/>
          <w:szCs w:val="28"/>
        </w:rPr>
        <w:t>zł</w:t>
      </w:r>
      <w:r w:rsidR="00E6521A">
        <w:rPr>
          <w:rFonts w:ascii="Times New Roman" w:hAnsi="Times New Roman"/>
          <w:sz w:val="28"/>
          <w:szCs w:val="28"/>
        </w:rPr>
        <w:t>otych</w:t>
      </w:r>
      <w:r w:rsidRPr="00E6521A">
        <w:rPr>
          <w:rFonts w:ascii="Times New Roman" w:hAnsi="Times New Roman"/>
          <w:sz w:val="28"/>
          <w:szCs w:val="28"/>
        </w:rPr>
        <w:t xml:space="preserve"> z tytułu umowy pożyczki. W dniu 26</w:t>
      </w:r>
      <w:r w:rsidR="00E6521A">
        <w:rPr>
          <w:rFonts w:ascii="Times New Roman" w:hAnsi="Times New Roman"/>
          <w:sz w:val="28"/>
          <w:szCs w:val="28"/>
        </w:rPr>
        <w:t xml:space="preserve"> lipca </w:t>
      </w:r>
      <w:r w:rsidRPr="00E6521A">
        <w:rPr>
          <w:rFonts w:ascii="Times New Roman" w:hAnsi="Times New Roman"/>
          <w:sz w:val="28"/>
          <w:szCs w:val="28"/>
        </w:rPr>
        <w:t>2016 r</w:t>
      </w:r>
      <w:r w:rsidR="00E6521A">
        <w:rPr>
          <w:rFonts w:ascii="Times New Roman" w:hAnsi="Times New Roman"/>
          <w:sz w:val="28"/>
          <w:szCs w:val="28"/>
        </w:rPr>
        <w:t>oku</w:t>
      </w:r>
      <w:r w:rsidRPr="00E6521A">
        <w:rPr>
          <w:rFonts w:ascii="Times New Roman" w:hAnsi="Times New Roman"/>
          <w:sz w:val="28"/>
          <w:szCs w:val="28"/>
        </w:rPr>
        <w:t xml:space="preserve"> Sąd wydał nakaz zapłaty w postępowaniu upominawczym, w którym uwzględnił w całości roszczenie dochodzone pozwem. Po wysłaniu odpisu nakazu zapłaty do pozwanego okazało się, </w:t>
      </w:r>
      <w:r w:rsidR="00E6521A">
        <w:rPr>
          <w:rFonts w:ascii="Times New Roman" w:hAnsi="Times New Roman"/>
          <w:sz w:val="28"/>
          <w:szCs w:val="28"/>
        </w:rPr>
        <w:t xml:space="preserve"> </w:t>
      </w:r>
      <w:r w:rsidRPr="00E6521A">
        <w:rPr>
          <w:rFonts w:ascii="Times New Roman" w:hAnsi="Times New Roman"/>
          <w:sz w:val="28"/>
          <w:szCs w:val="28"/>
        </w:rPr>
        <w:t>że</w:t>
      </w:r>
      <w:r w:rsidR="00E6521A">
        <w:rPr>
          <w:rFonts w:ascii="Times New Roman" w:hAnsi="Times New Roman"/>
          <w:sz w:val="28"/>
          <w:szCs w:val="28"/>
        </w:rPr>
        <w:t xml:space="preserve"> pozwany</w:t>
      </w:r>
      <w:r w:rsidRPr="00E6521A">
        <w:rPr>
          <w:rFonts w:ascii="Times New Roman" w:hAnsi="Times New Roman"/>
          <w:sz w:val="28"/>
          <w:szCs w:val="28"/>
        </w:rPr>
        <w:t xml:space="preserve"> Czesław Nowak zmarł w dniu 25</w:t>
      </w:r>
      <w:r w:rsidR="00E6521A">
        <w:rPr>
          <w:rFonts w:ascii="Times New Roman" w:hAnsi="Times New Roman"/>
          <w:sz w:val="28"/>
          <w:szCs w:val="28"/>
        </w:rPr>
        <w:t xml:space="preserve"> czerwca 2015 roku. </w:t>
      </w:r>
      <w:r w:rsidRPr="00E6521A">
        <w:rPr>
          <w:rFonts w:ascii="Times New Roman" w:hAnsi="Times New Roman"/>
          <w:sz w:val="28"/>
          <w:szCs w:val="28"/>
        </w:rPr>
        <w:t xml:space="preserve"> </w:t>
      </w:r>
    </w:p>
    <w:p w:rsidR="00857442" w:rsidRPr="00E6521A" w:rsidRDefault="00857442" w:rsidP="00857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857442" w:rsidRDefault="00857442" w:rsidP="00857442">
      <w:pPr>
        <w:spacing w:after="0" w:line="240" w:lineRule="auto"/>
        <w:ind w:left="720"/>
        <w:jc w:val="both"/>
        <w:rPr>
          <w:sz w:val="28"/>
          <w:szCs w:val="28"/>
        </w:rPr>
      </w:pPr>
    </w:p>
    <w:p w:rsidR="00857442" w:rsidRDefault="00857442" w:rsidP="00857442"/>
    <w:p w:rsidR="00107F8A" w:rsidRDefault="00107F8A"/>
    <w:sectPr w:rsidR="00107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D5DA6"/>
    <w:multiLevelType w:val="hybridMultilevel"/>
    <w:tmpl w:val="4170DD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36E40"/>
    <w:multiLevelType w:val="hybridMultilevel"/>
    <w:tmpl w:val="C6763E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63AD"/>
    <w:multiLevelType w:val="hybridMultilevel"/>
    <w:tmpl w:val="BCEC2F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3113"/>
    <w:multiLevelType w:val="hybridMultilevel"/>
    <w:tmpl w:val="CB0E8D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261F7"/>
    <w:multiLevelType w:val="hybridMultilevel"/>
    <w:tmpl w:val="896440E6"/>
    <w:lvl w:ilvl="0" w:tplc="FE98CE94">
      <w:start w:val="1"/>
      <w:numFmt w:val="lowerLetter"/>
      <w:lvlText w:val="%1)"/>
      <w:lvlJc w:val="left"/>
      <w:pPr>
        <w:tabs>
          <w:tab w:val="num" w:pos="870"/>
        </w:tabs>
        <w:ind w:left="8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 w15:restartNumberingAfterBreak="0">
    <w:nsid w:val="39A64686"/>
    <w:multiLevelType w:val="hybridMultilevel"/>
    <w:tmpl w:val="FE186C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65D4"/>
    <w:multiLevelType w:val="hybridMultilevel"/>
    <w:tmpl w:val="AD728070"/>
    <w:lvl w:ilvl="0" w:tplc="503A14A0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43607A81"/>
    <w:multiLevelType w:val="hybridMultilevel"/>
    <w:tmpl w:val="A8C04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C4350"/>
    <w:multiLevelType w:val="hybridMultilevel"/>
    <w:tmpl w:val="1960FE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94321"/>
    <w:multiLevelType w:val="hybridMultilevel"/>
    <w:tmpl w:val="EE340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02BA7"/>
    <w:multiLevelType w:val="hybridMultilevel"/>
    <w:tmpl w:val="76E250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A6856"/>
    <w:multiLevelType w:val="hybridMultilevel"/>
    <w:tmpl w:val="27CAF6EC"/>
    <w:lvl w:ilvl="0" w:tplc="A18C0EA4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 w15:restartNumberingAfterBreak="0">
    <w:nsid w:val="59863B6B"/>
    <w:multiLevelType w:val="hybridMultilevel"/>
    <w:tmpl w:val="39CE1D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E5ED1"/>
    <w:multiLevelType w:val="hybridMultilevel"/>
    <w:tmpl w:val="1B48FC0A"/>
    <w:lvl w:ilvl="0" w:tplc="497C687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566401"/>
    <w:multiLevelType w:val="hybridMultilevel"/>
    <w:tmpl w:val="ACEEA9D8"/>
    <w:lvl w:ilvl="0" w:tplc="7FC0757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5D3585"/>
    <w:multiLevelType w:val="hybridMultilevel"/>
    <w:tmpl w:val="A96E6824"/>
    <w:lvl w:ilvl="0" w:tplc="8DF0C4D4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7FC"/>
    <w:rsid w:val="000E47FC"/>
    <w:rsid w:val="00107F8A"/>
    <w:rsid w:val="00677E15"/>
    <w:rsid w:val="00857442"/>
    <w:rsid w:val="00D74631"/>
    <w:rsid w:val="00E6521A"/>
    <w:rsid w:val="00F3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F78DA-7917-4761-ACC0-8A0D643D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4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7442"/>
    <w:pPr>
      <w:ind w:left="708"/>
    </w:pPr>
  </w:style>
  <w:style w:type="character" w:styleId="Hipercze">
    <w:name w:val="Hyperlink"/>
    <w:basedOn w:val="Domylnaczcionkaakapitu"/>
    <w:uiPriority w:val="99"/>
    <w:semiHidden/>
    <w:unhideWhenUsed/>
    <w:rsid w:val="0085744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21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3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x.online.wolterskluwer.pl/WKPLOnline/index.rp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Kwiatkowska</dc:creator>
  <cp:lastModifiedBy>Kruk Halina</cp:lastModifiedBy>
  <cp:revision>2</cp:revision>
  <cp:lastPrinted>2017-05-11T09:15:00Z</cp:lastPrinted>
  <dcterms:created xsi:type="dcterms:W3CDTF">2025-06-02T11:41:00Z</dcterms:created>
  <dcterms:modified xsi:type="dcterms:W3CDTF">2025-06-02T11:41:00Z</dcterms:modified>
</cp:coreProperties>
</file>