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58B" w:rsidRDefault="00CB75ED" w:rsidP="00CB75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385040" w:rsidRPr="00552736" w:rsidRDefault="007B2D95" w:rsidP="00552736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</w:t>
      </w:r>
      <w:r w:rsidRPr="007B2D95">
        <w:rPr>
          <w:rFonts w:ascii="Times New Roman" w:hAnsi="Times New Roman" w:cs="Times New Roman"/>
          <w:sz w:val="20"/>
          <w:szCs w:val="24"/>
        </w:rPr>
        <w:t>imię i nazwisko zdającego</w:t>
      </w:r>
    </w:p>
    <w:p w:rsidR="005849F1" w:rsidRDefault="005849F1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40C2B" w:rsidRDefault="00D40C2B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7B2D95" w:rsidRPr="007B2D95" w:rsidRDefault="007B2D95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B2D95">
        <w:rPr>
          <w:rFonts w:ascii="Times New Roman" w:hAnsi="Times New Roman" w:cs="Times New Roman"/>
          <w:b/>
          <w:sz w:val="32"/>
          <w:szCs w:val="24"/>
        </w:rPr>
        <w:t>TEST</w:t>
      </w:r>
    </w:p>
    <w:p w:rsidR="007B2D95" w:rsidRPr="007B2D95" w:rsidRDefault="007B2D95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B2D95">
        <w:rPr>
          <w:rFonts w:ascii="Times New Roman" w:hAnsi="Times New Roman" w:cs="Times New Roman"/>
          <w:b/>
          <w:sz w:val="32"/>
          <w:szCs w:val="24"/>
        </w:rPr>
        <w:t xml:space="preserve">dla kandydatów na stanowisko asystenta sędziego </w:t>
      </w:r>
      <w:r w:rsidRPr="007B2D95">
        <w:rPr>
          <w:rFonts w:ascii="Times New Roman" w:hAnsi="Times New Roman" w:cs="Times New Roman"/>
          <w:b/>
          <w:sz w:val="32"/>
          <w:szCs w:val="24"/>
        </w:rPr>
        <w:br/>
        <w:t xml:space="preserve">w Sądzie Apelacyjnym w Łodzi </w:t>
      </w:r>
    </w:p>
    <w:p w:rsidR="007B2D95" w:rsidRDefault="007B2D95" w:rsidP="007B2D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5A39" w:rsidRPr="001B5A39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Nie stanowi przestępstwa czyn zabroniony, którego szkodliwość społeczna jest:</w:t>
      </w:r>
    </w:p>
    <w:p w:rsidR="001B5A39" w:rsidRPr="001B5A39" w:rsidRDefault="001B5A39" w:rsidP="00EA5210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znikoma;</w:t>
      </w:r>
    </w:p>
    <w:p w:rsidR="001B5A39" w:rsidRPr="001B5A39" w:rsidRDefault="001B5A39" w:rsidP="00EA5210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niewielka;</w:t>
      </w:r>
    </w:p>
    <w:p w:rsidR="001B5A39" w:rsidRPr="001B5A39" w:rsidRDefault="001B5A39" w:rsidP="00EA5210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nieznaczna.</w:t>
      </w:r>
    </w:p>
    <w:p w:rsidR="001B5A39" w:rsidRPr="001B5A39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Jeżeli w czasie orzekania obowiązuje ustawa inna niż w czasie popełnienia przestępstwa stosujemy:</w:t>
      </w:r>
    </w:p>
    <w:p w:rsidR="001B5A39" w:rsidRPr="001B5A39" w:rsidRDefault="001B5A39" w:rsidP="00EA5210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ustawę obowiązującą w czasie popełnienia przestępstwa;</w:t>
      </w:r>
    </w:p>
    <w:p w:rsidR="001B5A39" w:rsidRPr="001B5A39" w:rsidRDefault="001B5A39" w:rsidP="00EA5210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ustawę obwiązującą w czasie orzekania;</w:t>
      </w:r>
    </w:p>
    <w:p w:rsidR="001B5A39" w:rsidRPr="001B5A39" w:rsidRDefault="001B5A39" w:rsidP="00EA5210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ustawę obowiązującą w czasie orzekania, jednakże należy zastosować ustawę obowiązującą w czasie popełnienia przestępstwa, jeżeli jest korzystniejszą dla oskarżonego.</w:t>
      </w:r>
    </w:p>
    <w:p w:rsidR="001B5A39" w:rsidRPr="001B5A39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Zbrodnię można popełnić:</w:t>
      </w:r>
    </w:p>
    <w:p w:rsidR="001B5A39" w:rsidRPr="001B5A39" w:rsidRDefault="001B5A39" w:rsidP="00EA5210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tylko z winy umyślnej;</w:t>
      </w:r>
    </w:p>
    <w:p w:rsidR="001B5A39" w:rsidRPr="001B5A39" w:rsidRDefault="001B5A39" w:rsidP="00EA5210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z winy umyślnej oraz nieumyślnej;</w:t>
      </w:r>
    </w:p>
    <w:p w:rsidR="001B5A39" w:rsidRPr="001B5A39" w:rsidRDefault="001B5A39" w:rsidP="00EA5210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 xml:space="preserve">z winy kombinowanej. </w:t>
      </w:r>
    </w:p>
    <w:p w:rsidR="001B5A39" w:rsidRPr="001B5A39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Ogólną regułą jest, iż na zasadach określonych w kodeksie karnym odpowiada ten kto popełnia czyn zabroniony po ukończeniu:</w:t>
      </w:r>
    </w:p>
    <w:p w:rsidR="001B5A39" w:rsidRPr="001B5A39" w:rsidRDefault="001B5A39" w:rsidP="00EA5210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14 lat;</w:t>
      </w:r>
    </w:p>
    <w:p w:rsidR="001B5A39" w:rsidRPr="001B5A39" w:rsidRDefault="001B5A39" w:rsidP="00EA5210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15 lat;</w:t>
      </w:r>
    </w:p>
    <w:p w:rsidR="001B5A39" w:rsidRPr="001B5A39" w:rsidRDefault="001B5A39" w:rsidP="00EA5210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17 lat.</w:t>
      </w:r>
    </w:p>
    <w:p w:rsidR="001B5A39" w:rsidRPr="001B5A39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Kara pozbawienia wolności trwa:</w:t>
      </w:r>
    </w:p>
    <w:p w:rsidR="001B5A39" w:rsidRPr="001B5A39" w:rsidRDefault="001B5A39" w:rsidP="00EA5210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najkrócej miesiąc a najdłużej 15 lat;</w:t>
      </w:r>
    </w:p>
    <w:p w:rsidR="001B5A39" w:rsidRPr="001B5A39" w:rsidRDefault="001B5A39" w:rsidP="00EA5210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najkrócej miesiąc a najdłużej 25 lat;</w:t>
      </w:r>
    </w:p>
    <w:p w:rsidR="001B5A39" w:rsidRDefault="001B5A39" w:rsidP="00EA5210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najkrócej miesiąc a najdłużej 30 lat.</w:t>
      </w:r>
    </w:p>
    <w:p w:rsidR="00D40C2B" w:rsidRDefault="00D40C2B" w:rsidP="00D40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0C2B" w:rsidRPr="00D40C2B" w:rsidRDefault="00D40C2B" w:rsidP="00D40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B5A39" w:rsidRPr="001B5A39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Pozbawienia praw publicznych to:</w:t>
      </w:r>
    </w:p>
    <w:p w:rsidR="001B5A39" w:rsidRPr="001B5A39" w:rsidRDefault="001B5A39" w:rsidP="00EA5210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kara dodatkowa;</w:t>
      </w:r>
    </w:p>
    <w:p w:rsidR="001B5A39" w:rsidRPr="001B5A39" w:rsidRDefault="001B5A39" w:rsidP="00EA5210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środek karny;</w:t>
      </w:r>
    </w:p>
    <w:p w:rsidR="001B5A39" w:rsidRPr="001B5A39" w:rsidRDefault="001B5A39" w:rsidP="00EA5210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środek kompensacyjny.</w:t>
      </w:r>
    </w:p>
    <w:p w:rsidR="001B5A39" w:rsidRPr="001B5A39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Warunkowego umorzenia postępowania karnego nie stosuje się do sprawcy przestępstwa zagrożonego karą przekraczającą:</w:t>
      </w:r>
    </w:p>
    <w:p w:rsidR="001B5A39" w:rsidRPr="001B5A39" w:rsidRDefault="001B5A39" w:rsidP="00EA5210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2 lata pozbawienia wolności;</w:t>
      </w:r>
    </w:p>
    <w:p w:rsidR="001B5A39" w:rsidRPr="001B5A39" w:rsidRDefault="001B5A39" w:rsidP="00EA5210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3 lata pozbawienia wolności;</w:t>
      </w:r>
    </w:p>
    <w:p w:rsidR="001B5A39" w:rsidRPr="001B5A39" w:rsidRDefault="001B5A39" w:rsidP="00EA5210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 xml:space="preserve">5 lat pozbawienia wolności. </w:t>
      </w:r>
    </w:p>
    <w:p w:rsidR="001B5A39" w:rsidRPr="001B5A39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Skazanie ulega zatarciu z mocy prawa z upływem:</w:t>
      </w:r>
    </w:p>
    <w:p w:rsidR="001B5A39" w:rsidRPr="001B5A39" w:rsidRDefault="001B5A39" w:rsidP="00EA5210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6 miesięcy od zakończenia okresu próby;</w:t>
      </w:r>
    </w:p>
    <w:p w:rsidR="001B5A39" w:rsidRPr="001B5A39" w:rsidRDefault="001B5A39" w:rsidP="00EA5210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1 roku od zakończenia okresu próby;</w:t>
      </w:r>
    </w:p>
    <w:p w:rsidR="001B5A39" w:rsidRPr="001B5A39" w:rsidRDefault="001B5A39" w:rsidP="00EA5210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2 lat od zakończenia okresu próby.</w:t>
      </w:r>
    </w:p>
    <w:p w:rsidR="001B5A39" w:rsidRPr="001B5A39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Zbrodnia zabójstwa ulega przedawnieniu z upływem:</w:t>
      </w:r>
    </w:p>
    <w:p w:rsidR="001B5A39" w:rsidRPr="001B5A39" w:rsidRDefault="001B5A39" w:rsidP="00EA5210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20 lat;</w:t>
      </w:r>
    </w:p>
    <w:p w:rsidR="001B5A39" w:rsidRPr="001B5A39" w:rsidRDefault="001B5A39" w:rsidP="00EA5210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30 lat;</w:t>
      </w:r>
    </w:p>
    <w:p w:rsidR="001B5A39" w:rsidRPr="001B5A39" w:rsidRDefault="001B5A39" w:rsidP="00EA5210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40 lat.</w:t>
      </w:r>
    </w:p>
    <w:p w:rsidR="001B5A39" w:rsidRPr="001B5A39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Oskarżyciel publiczny może cofnąć akt oskarżenia bez zgody oskarżonego:</w:t>
      </w:r>
    </w:p>
    <w:p w:rsidR="001B5A39" w:rsidRPr="001B5A39" w:rsidRDefault="001B5A39" w:rsidP="00EA5210">
      <w:pPr>
        <w:pStyle w:val="Akapitzlist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w każdej chwili;</w:t>
      </w:r>
    </w:p>
    <w:p w:rsidR="001B5A39" w:rsidRPr="001B5A39" w:rsidRDefault="001B5A39" w:rsidP="00EA5210">
      <w:pPr>
        <w:pStyle w:val="Akapitzlist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do czasu rozpoczęcia przewodu sądowego na pierwszej rozprawie głównej;</w:t>
      </w:r>
    </w:p>
    <w:p w:rsidR="001B5A39" w:rsidRPr="001B5A39" w:rsidRDefault="001B5A39" w:rsidP="00EA5210">
      <w:pPr>
        <w:pStyle w:val="Akapitzlist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 xml:space="preserve">do czasu zamknięcia przewodu sądowego. </w:t>
      </w:r>
    </w:p>
    <w:p w:rsidR="001B5A39" w:rsidRPr="001B5A39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W sytuacji gdy sędzia prowadził mediację w sprawie karnej:</w:t>
      </w:r>
    </w:p>
    <w:p w:rsidR="001B5A39" w:rsidRPr="001B5A39" w:rsidRDefault="001B5A39" w:rsidP="00EA52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jest wyłączony z mocy prawa od udziału w sprawie;</w:t>
      </w:r>
    </w:p>
    <w:p w:rsidR="001B5A39" w:rsidRPr="001B5A39" w:rsidRDefault="001B5A39" w:rsidP="00EA52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może być wyłączony od udziału w sprawie na wniosek strony;</w:t>
      </w:r>
    </w:p>
    <w:p w:rsidR="001B5A39" w:rsidRPr="001B5A39" w:rsidRDefault="001B5A39" w:rsidP="00EA52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 xml:space="preserve">nie podlega wyłączeniu. </w:t>
      </w:r>
    </w:p>
    <w:p w:rsidR="001B5A39" w:rsidRPr="001B5A39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Obrońca może bronić w konkretnej sprawie:</w:t>
      </w:r>
    </w:p>
    <w:p w:rsidR="001B5A39" w:rsidRPr="001B5A39" w:rsidRDefault="001B5A39" w:rsidP="00EA5210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tylko jednego oskarżonego;</w:t>
      </w:r>
    </w:p>
    <w:p w:rsidR="001B5A39" w:rsidRPr="001B5A39" w:rsidRDefault="001B5A39" w:rsidP="00EA5210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tylko trzech oskarżonych;</w:t>
      </w:r>
    </w:p>
    <w:p w:rsidR="001B5A39" w:rsidRPr="001B5A39" w:rsidRDefault="001B5A39" w:rsidP="00EA5210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 xml:space="preserve">kilku oskarżonych, jeżeli ich interesy nie pozostają w sprzeczności. </w:t>
      </w:r>
    </w:p>
    <w:p w:rsidR="001B5A39" w:rsidRPr="001B5A39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W postępowaniu karnym dowody przeprowadza się:</w:t>
      </w:r>
    </w:p>
    <w:p w:rsidR="001B5A39" w:rsidRPr="001B5A39" w:rsidRDefault="001B5A39" w:rsidP="00EA5210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tylko na wniosek strony;</w:t>
      </w:r>
    </w:p>
    <w:p w:rsidR="001B5A39" w:rsidRPr="001B5A39" w:rsidRDefault="001B5A39" w:rsidP="00EA5210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tylko z urzędu;</w:t>
      </w:r>
    </w:p>
    <w:p w:rsidR="00D40C2B" w:rsidRDefault="00D40C2B" w:rsidP="00D40C2B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stron albo z urzędu</w:t>
      </w:r>
    </w:p>
    <w:p w:rsidR="00106264" w:rsidRPr="00106264" w:rsidRDefault="00106264" w:rsidP="001062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B5A39" w:rsidRPr="001B5A39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lastRenderedPageBreak/>
        <w:t>W postępowaniu karnym status biegłego ma:</w:t>
      </w:r>
    </w:p>
    <w:p w:rsidR="001B5A39" w:rsidRPr="001B5A39" w:rsidRDefault="001B5A39" w:rsidP="00EA5210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osoba posiadająca wiadomości specjalne, która sporządziła opinię na zlecenie strony toczącego się postępowania;</w:t>
      </w:r>
    </w:p>
    <w:p w:rsidR="001B5A39" w:rsidRPr="001B5A39" w:rsidRDefault="001B5A39" w:rsidP="00EA5210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osoba posiadająca wiadomości specjalne powołana w danej sprawie w charakterze biegłego przez uprawniony organ procesowy;</w:t>
      </w:r>
    </w:p>
    <w:p w:rsidR="001B5A39" w:rsidRPr="00D40C2B" w:rsidRDefault="001B5A39" w:rsidP="00D40C2B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osoby, o których mowa zarówno w punkcie a jak b niniejszego pytania.</w:t>
      </w:r>
    </w:p>
    <w:p w:rsidR="001B5A39" w:rsidRPr="001B5A39" w:rsidRDefault="00CF75CF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B5A39" w:rsidRPr="001B5A39">
        <w:rPr>
          <w:rFonts w:ascii="Times New Roman" w:hAnsi="Times New Roman" w:cs="Times New Roman"/>
          <w:sz w:val="24"/>
          <w:szCs w:val="24"/>
        </w:rPr>
        <w:t>wydaniu listu żelaznego orzeka:</w:t>
      </w:r>
    </w:p>
    <w:p w:rsidR="001B5A39" w:rsidRPr="001B5A39" w:rsidRDefault="001B5A39" w:rsidP="00EA5210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sąd właściwy do rozpoznania sprawy;</w:t>
      </w:r>
    </w:p>
    <w:p w:rsidR="001B5A39" w:rsidRPr="001B5A39" w:rsidRDefault="001B5A39" w:rsidP="00EA5210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sąd okręgowy;</w:t>
      </w:r>
    </w:p>
    <w:p w:rsidR="001B5A39" w:rsidRPr="001B5A39" w:rsidRDefault="001B5A39" w:rsidP="00EA5210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 xml:space="preserve">sąd apelacyjny. </w:t>
      </w:r>
    </w:p>
    <w:p w:rsidR="001B5A39" w:rsidRPr="001B5A39" w:rsidRDefault="00CF75CF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B5A39" w:rsidRPr="001B5A39">
        <w:rPr>
          <w:rFonts w:ascii="Times New Roman" w:hAnsi="Times New Roman" w:cs="Times New Roman"/>
          <w:sz w:val="24"/>
          <w:szCs w:val="24"/>
        </w:rPr>
        <w:t>aresztowaniu jako karze porządkowej w postępowaniu przygotowawczym orzeka na wniosek prokuratora:</w:t>
      </w:r>
    </w:p>
    <w:p w:rsidR="001B5A39" w:rsidRPr="001B5A39" w:rsidRDefault="001B5A39" w:rsidP="00EA5210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sąd rejonowy w okręgu którego prowadzone jest postępowanie;</w:t>
      </w:r>
    </w:p>
    <w:p w:rsidR="001B5A39" w:rsidRPr="001B5A39" w:rsidRDefault="001B5A39" w:rsidP="00EA5210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sąd właściwy do rozpoznania sprawy;</w:t>
      </w:r>
    </w:p>
    <w:p w:rsidR="001B5A39" w:rsidRPr="001B5A39" w:rsidRDefault="001B5A39" w:rsidP="00EA5210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 xml:space="preserve">sąd okręgowy w okręgu którego prowadzone jest postępowanie. </w:t>
      </w:r>
    </w:p>
    <w:p w:rsidR="001B5A39" w:rsidRPr="001B5A39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Rozprawa główna rozpoczyna się od:</w:t>
      </w:r>
    </w:p>
    <w:p w:rsidR="001B5A39" w:rsidRPr="001B5A39" w:rsidRDefault="001B5A39" w:rsidP="00EA5210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wywołania sprawy;</w:t>
      </w:r>
    </w:p>
    <w:p w:rsidR="001B5A39" w:rsidRPr="001B5A39" w:rsidRDefault="001B5A39" w:rsidP="00EA5210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sprawdzenia obecności;</w:t>
      </w:r>
    </w:p>
    <w:p w:rsidR="001B5A39" w:rsidRPr="001B5A39" w:rsidRDefault="001B5A39" w:rsidP="00EA5210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zwięzłego przedstawienia przez o</w:t>
      </w:r>
      <w:r w:rsidR="00EA5210">
        <w:rPr>
          <w:rFonts w:ascii="Times New Roman" w:hAnsi="Times New Roman" w:cs="Times New Roman"/>
          <w:sz w:val="24"/>
          <w:szCs w:val="24"/>
        </w:rPr>
        <w:t>skarżyciela zarzutów oskarżenia.</w:t>
      </w:r>
    </w:p>
    <w:p w:rsidR="001B5A39" w:rsidRPr="001B5A39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W sprawie karnej wydanie wyroku można odroczyć na czas:</w:t>
      </w:r>
    </w:p>
    <w:p w:rsidR="001B5A39" w:rsidRPr="001B5A39" w:rsidRDefault="001B5A39" w:rsidP="00EA5210">
      <w:pPr>
        <w:pStyle w:val="Akapitzlist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nieprzekraczający 7 dni;</w:t>
      </w:r>
    </w:p>
    <w:p w:rsidR="001B5A39" w:rsidRPr="001B5A39" w:rsidRDefault="001B5A39" w:rsidP="00EA5210">
      <w:pPr>
        <w:pStyle w:val="Akapitzlist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nieprzekraczający 14 dni;</w:t>
      </w:r>
    </w:p>
    <w:p w:rsidR="001B5A39" w:rsidRPr="001B5A39" w:rsidRDefault="001B5A39" w:rsidP="00EA5210">
      <w:pPr>
        <w:pStyle w:val="Akapitzlist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sz w:val="24"/>
          <w:szCs w:val="24"/>
        </w:rPr>
        <w:t>nieprzekraczający 21 dni.</w:t>
      </w:r>
    </w:p>
    <w:p w:rsidR="001B5A39" w:rsidRPr="002B3325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Jeżeli osoba ograniczona w zdolności do czynności prawnych dokonała sama jednostronnej czynności prawnej, do której ustawa wymaga zgody przedstawiciela ustawowego:</w:t>
      </w:r>
    </w:p>
    <w:p w:rsidR="001B5A39" w:rsidRPr="002B3325" w:rsidRDefault="001B5A39" w:rsidP="00EA5210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ważność czynności prawnej zależy od potwierdzenia przez przedstawiciela ustawowego;</w:t>
      </w:r>
    </w:p>
    <w:p w:rsidR="002B3325" w:rsidRPr="002B3325" w:rsidRDefault="001B5A39" w:rsidP="00EA5210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ważność tej czynności zależy od jej przedmiotu;</w:t>
      </w:r>
    </w:p>
    <w:p w:rsidR="002B3325" w:rsidRDefault="002B3325" w:rsidP="00EA5210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czynność jest nieważna.</w:t>
      </w:r>
      <w:r w:rsidRPr="002B33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A39" w:rsidRPr="00EA5210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5210">
        <w:rPr>
          <w:rFonts w:ascii="Times New Roman" w:hAnsi="Times New Roman" w:cs="Times New Roman"/>
          <w:sz w:val="24"/>
          <w:szCs w:val="24"/>
        </w:rPr>
        <w:t>Jeżeli w skutek naruszenia dobra osobistego została wyrządzona szkoda majątkowa</w:t>
      </w:r>
      <w:r w:rsidR="00EA5210">
        <w:rPr>
          <w:rFonts w:ascii="Times New Roman" w:hAnsi="Times New Roman" w:cs="Times New Roman"/>
          <w:sz w:val="24"/>
          <w:szCs w:val="24"/>
        </w:rPr>
        <w:t xml:space="preserve"> </w:t>
      </w:r>
      <w:r w:rsidRPr="00EA5210">
        <w:rPr>
          <w:rFonts w:ascii="Times New Roman" w:hAnsi="Times New Roman" w:cs="Times New Roman"/>
          <w:sz w:val="24"/>
          <w:szCs w:val="24"/>
        </w:rPr>
        <w:t>poszkodowany może żądać jej naprawienia:</w:t>
      </w:r>
    </w:p>
    <w:p w:rsidR="001B5A39" w:rsidRPr="002B3325" w:rsidRDefault="001B5A39" w:rsidP="00EA5210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w przypadkach przewidzianych w ustawie;</w:t>
      </w:r>
    </w:p>
    <w:p w:rsidR="001B5A39" w:rsidRPr="002B3325" w:rsidRDefault="001B5A39" w:rsidP="00EA5210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na zasadach ogólnych;</w:t>
      </w:r>
    </w:p>
    <w:p w:rsidR="00106264" w:rsidRPr="00106264" w:rsidRDefault="001B5A39" w:rsidP="00106264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przez zapł</w:t>
      </w:r>
      <w:r w:rsidR="00EA5210">
        <w:rPr>
          <w:rFonts w:ascii="Times New Roman" w:hAnsi="Times New Roman" w:cs="Times New Roman"/>
          <w:sz w:val="24"/>
          <w:szCs w:val="24"/>
        </w:rPr>
        <w:t>atę stosownego zadośćuczynienia.</w:t>
      </w:r>
    </w:p>
    <w:p w:rsidR="001B5A39" w:rsidRPr="002B3325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lastRenderedPageBreak/>
        <w:t xml:space="preserve">Oświadczenie woli stanowi ofertę, jeżeli określa: </w:t>
      </w:r>
    </w:p>
    <w:p w:rsidR="001B5A39" w:rsidRPr="002B3325" w:rsidRDefault="001B5A39" w:rsidP="00EA5210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wszystkie postanowienia tej umowy;</w:t>
      </w:r>
    </w:p>
    <w:p w:rsidR="001B5A39" w:rsidRPr="002B3325" w:rsidRDefault="001B5A39" w:rsidP="00EA5210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istotne postanowienia tej umowy;</w:t>
      </w:r>
    </w:p>
    <w:p w:rsidR="001B5A39" w:rsidRPr="002B3325" w:rsidRDefault="001B5A39" w:rsidP="00EA5210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istotne postanowienia tej</w:t>
      </w:r>
      <w:r w:rsidR="00EA5210">
        <w:rPr>
          <w:rFonts w:ascii="Times New Roman" w:hAnsi="Times New Roman" w:cs="Times New Roman"/>
          <w:sz w:val="24"/>
          <w:szCs w:val="24"/>
        </w:rPr>
        <w:t xml:space="preserve"> umowy oraz termin jej zawarcia.</w:t>
      </w:r>
    </w:p>
    <w:p w:rsidR="001B5A39" w:rsidRPr="00EA5210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5210">
        <w:rPr>
          <w:rFonts w:ascii="Times New Roman" w:hAnsi="Times New Roman" w:cs="Times New Roman"/>
          <w:sz w:val="24"/>
          <w:szCs w:val="24"/>
        </w:rPr>
        <w:t>Jeżeli ustawa zastrzega dla czynności prawnej formę pisemną, dokumentową</w:t>
      </w:r>
      <w:r w:rsidR="00EA5210" w:rsidRPr="00EA5210">
        <w:rPr>
          <w:rFonts w:ascii="Times New Roman" w:hAnsi="Times New Roman" w:cs="Times New Roman"/>
          <w:sz w:val="24"/>
          <w:szCs w:val="24"/>
        </w:rPr>
        <w:t xml:space="preserve"> </w:t>
      </w:r>
      <w:r w:rsidRPr="00EA5210">
        <w:rPr>
          <w:rFonts w:ascii="Times New Roman" w:hAnsi="Times New Roman" w:cs="Times New Roman"/>
          <w:sz w:val="24"/>
          <w:szCs w:val="24"/>
        </w:rPr>
        <w:t>albo elektroniczną, czynność dokonana bez zachowania zastrzeżonej formy:</w:t>
      </w:r>
    </w:p>
    <w:p w:rsidR="001B5A39" w:rsidRPr="002B3325" w:rsidRDefault="001B5A39" w:rsidP="00EA5210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jest bezwzględnie nieważna;</w:t>
      </w:r>
    </w:p>
    <w:p w:rsidR="00552736" w:rsidRDefault="001B5A39" w:rsidP="00552736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nie wywołuje określonych skutków prawnych;</w:t>
      </w:r>
    </w:p>
    <w:p w:rsidR="001B5A39" w:rsidRPr="00552736" w:rsidRDefault="001B5A39" w:rsidP="00552736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2736">
        <w:rPr>
          <w:rFonts w:ascii="Times New Roman" w:hAnsi="Times New Roman" w:cs="Times New Roman"/>
          <w:sz w:val="24"/>
          <w:szCs w:val="24"/>
        </w:rPr>
        <w:t>jest nieważna tylko wtedy, gdy usta</w:t>
      </w:r>
      <w:r w:rsidR="00EA5210" w:rsidRPr="00552736">
        <w:rPr>
          <w:rFonts w:ascii="Times New Roman" w:hAnsi="Times New Roman" w:cs="Times New Roman"/>
          <w:sz w:val="24"/>
          <w:szCs w:val="24"/>
        </w:rPr>
        <w:t>wa przewiduje rygor nieważności.</w:t>
      </w:r>
    </w:p>
    <w:p w:rsidR="001B5A39" w:rsidRPr="00D40C2B" w:rsidRDefault="001B5A39" w:rsidP="00D40C2B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0C2B">
        <w:rPr>
          <w:rFonts w:ascii="Times New Roman" w:hAnsi="Times New Roman" w:cs="Times New Roman"/>
          <w:sz w:val="24"/>
          <w:szCs w:val="24"/>
        </w:rPr>
        <w:t xml:space="preserve">Roszczenia właściciela o wydanie rzeczy (rei </w:t>
      </w:r>
      <w:proofErr w:type="spellStart"/>
      <w:r w:rsidRPr="00D40C2B">
        <w:rPr>
          <w:rFonts w:ascii="Times New Roman" w:hAnsi="Times New Roman" w:cs="Times New Roman"/>
          <w:sz w:val="24"/>
          <w:szCs w:val="24"/>
        </w:rPr>
        <w:t>vindicatio</w:t>
      </w:r>
      <w:proofErr w:type="spellEnd"/>
      <w:r w:rsidRPr="00D40C2B">
        <w:rPr>
          <w:rFonts w:ascii="Times New Roman" w:hAnsi="Times New Roman" w:cs="Times New Roman"/>
          <w:sz w:val="24"/>
          <w:szCs w:val="24"/>
        </w:rPr>
        <w:t>) oraz o przywrócenie stanu</w:t>
      </w:r>
      <w:r w:rsidR="00EA5210" w:rsidRPr="00D40C2B">
        <w:rPr>
          <w:rFonts w:ascii="Times New Roman" w:hAnsi="Times New Roman" w:cs="Times New Roman"/>
          <w:sz w:val="24"/>
          <w:szCs w:val="24"/>
        </w:rPr>
        <w:t xml:space="preserve"> </w:t>
      </w:r>
      <w:r w:rsidRPr="00D40C2B">
        <w:rPr>
          <w:rFonts w:ascii="Times New Roman" w:hAnsi="Times New Roman" w:cs="Times New Roman"/>
          <w:sz w:val="24"/>
          <w:szCs w:val="24"/>
        </w:rPr>
        <w:t>zgodnego z prawem i zaniechanie naruszeń przedawniają się:</w:t>
      </w:r>
    </w:p>
    <w:p w:rsidR="001B5A39" w:rsidRPr="002B3325" w:rsidRDefault="001B5A39" w:rsidP="00EA5210">
      <w:pPr>
        <w:pStyle w:val="Akapitzlis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z upływem roku od pozbawienia lub naruszenia prawa własności;</w:t>
      </w:r>
    </w:p>
    <w:p w:rsidR="001B5A39" w:rsidRPr="002B3325" w:rsidRDefault="001B5A39" w:rsidP="00EA5210">
      <w:pPr>
        <w:pStyle w:val="Akapitzlis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z upływem lat trzech od pozbawienia lub naruszenia prawa własności;</w:t>
      </w:r>
    </w:p>
    <w:p w:rsidR="001B5A39" w:rsidRPr="002B3325" w:rsidRDefault="001B5A39" w:rsidP="00EA5210">
      <w:pPr>
        <w:pStyle w:val="Akapitzlis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nie ulegają przedawnieni</w:t>
      </w:r>
      <w:r w:rsidR="00EA5210">
        <w:rPr>
          <w:rFonts w:ascii="Times New Roman" w:hAnsi="Times New Roman" w:cs="Times New Roman"/>
          <w:sz w:val="24"/>
          <w:szCs w:val="24"/>
        </w:rPr>
        <w:t>u, jeżeli dotyczą nieruchomości.</w:t>
      </w:r>
    </w:p>
    <w:p w:rsidR="001B5A39" w:rsidRPr="002B3325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Dłużnicy solidarni pozostają zobowiązani:</w:t>
      </w:r>
    </w:p>
    <w:p w:rsidR="001B5A39" w:rsidRPr="002B3325" w:rsidRDefault="001B5A39" w:rsidP="00EA5210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do zupełnego zaspokojenia wierzyciela;</w:t>
      </w:r>
    </w:p>
    <w:p w:rsidR="001B5A39" w:rsidRPr="002B3325" w:rsidRDefault="001B5A39" w:rsidP="00EA5210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do czasu wyboru jednego z dłużników przez wierzyciela;</w:t>
      </w:r>
    </w:p>
    <w:p w:rsidR="001B5A39" w:rsidRPr="00CF75CF" w:rsidRDefault="001B5A39" w:rsidP="001B5A39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do chwili wyrażenia przez jednego z dłużni</w:t>
      </w:r>
      <w:r w:rsidR="00EA5210">
        <w:rPr>
          <w:rFonts w:ascii="Times New Roman" w:hAnsi="Times New Roman" w:cs="Times New Roman"/>
          <w:sz w:val="24"/>
          <w:szCs w:val="24"/>
        </w:rPr>
        <w:t>ków woli spełnienia świadczenia.</w:t>
      </w:r>
    </w:p>
    <w:p w:rsidR="001B5A39" w:rsidRPr="00EA5210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5210">
        <w:rPr>
          <w:rFonts w:ascii="Times New Roman" w:hAnsi="Times New Roman" w:cs="Times New Roman"/>
          <w:sz w:val="24"/>
          <w:szCs w:val="24"/>
        </w:rPr>
        <w:t>Jeżeli ten kto bez podstawy prawnej uzyskał korzyść majątkową kosztem innej osoby,</w:t>
      </w:r>
      <w:r w:rsidR="00EA5210" w:rsidRPr="00EA5210">
        <w:rPr>
          <w:rFonts w:ascii="Times New Roman" w:hAnsi="Times New Roman" w:cs="Times New Roman"/>
          <w:sz w:val="24"/>
          <w:szCs w:val="24"/>
        </w:rPr>
        <w:t xml:space="preserve"> </w:t>
      </w:r>
      <w:r w:rsidR="00EA5210">
        <w:rPr>
          <w:rFonts w:ascii="Times New Roman" w:hAnsi="Times New Roman" w:cs="Times New Roman"/>
          <w:sz w:val="24"/>
          <w:szCs w:val="24"/>
        </w:rPr>
        <w:t>r</w:t>
      </w:r>
      <w:r w:rsidRPr="00EA5210">
        <w:rPr>
          <w:rFonts w:ascii="Times New Roman" w:hAnsi="Times New Roman" w:cs="Times New Roman"/>
          <w:sz w:val="24"/>
          <w:szCs w:val="24"/>
        </w:rPr>
        <w:t xml:space="preserve">ozporządził korzyścią na rzecz osoby trzeciej bezpłatnie: </w:t>
      </w:r>
    </w:p>
    <w:p w:rsidR="001B5A39" w:rsidRPr="002B3325" w:rsidRDefault="001B5A39" w:rsidP="00EA5210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obowiązek wydania korzyści wygasa;</w:t>
      </w:r>
    </w:p>
    <w:p w:rsidR="001B5A39" w:rsidRPr="002B3325" w:rsidRDefault="001B5A39" w:rsidP="00EA5210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obowiązek wydania korzyści ogranicza się do jej wartości;</w:t>
      </w:r>
    </w:p>
    <w:p w:rsidR="001B5A39" w:rsidRPr="002B3325" w:rsidRDefault="001B5A39" w:rsidP="00EA5210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obowiązek wydania korzyści przechodzi n</w:t>
      </w:r>
      <w:r w:rsidR="00EA5210">
        <w:rPr>
          <w:rFonts w:ascii="Times New Roman" w:hAnsi="Times New Roman" w:cs="Times New Roman"/>
          <w:sz w:val="24"/>
          <w:szCs w:val="24"/>
        </w:rPr>
        <w:t>a tę osobę trzecią.</w:t>
      </w:r>
    </w:p>
    <w:p w:rsidR="001B5A39" w:rsidRPr="00EA5210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5210">
        <w:rPr>
          <w:rFonts w:ascii="Times New Roman" w:hAnsi="Times New Roman" w:cs="Times New Roman"/>
          <w:sz w:val="24"/>
          <w:szCs w:val="24"/>
        </w:rPr>
        <w:t>W razie zderzenia się mechanicznych środków komunikacji poruszanych za pomocą sił</w:t>
      </w:r>
      <w:r w:rsidR="00EA5210" w:rsidRPr="00EA5210">
        <w:rPr>
          <w:rFonts w:ascii="Times New Roman" w:hAnsi="Times New Roman" w:cs="Times New Roman"/>
          <w:sz w:val="24"/>
          <w:szCs w:val="24"/>
        </w:rPr>
        <w:t xml:space="preserve"> </w:t>
      </w:r>
      <w:r w:rsidRPr="00EA5210">
        <w:rPr>
          <w:rFonts w:ascii="Times New Roman" w:hAnsi="Times New Roman" w:cs="Times New Roman"/>
          <w:sz w:val="24"/>
          <w:szCs w:val="24"/>
        </w:rPr>
        <w:t xml:space="preserve">    przyrody, odpowiedzialność wzajemna samoistnych posiadaczy lub posiadaczy zależnych</w:t>
      </w:r>
      <w:r w:rsidR="00EA5210" w:rsidRPr="00EA5210">
        <w:rPr>
          <w:rFonts w:ascii="Times New Roman" w:hAnsi="Times New Roman" w:cs="Times New Roman"/>
          <w:sz w:val="24"/>
          <w:szCs w:val="24"/>
        </w:rPr>
        <w:t xml:space="preserve"> </w:t>
      </w:r>
      <w:r w:rsidRPr="00EA5210">
        <w:rPr>
          <w:rFonts w:ascii="Times New Roman" w:hAnsi="Times New Roman" w:cs="Times New Roman"/>
          <w:sz w:val="24"/>
          <w:szCs w:val="24"/>
        </w:rPr>
        <w:t xml:space="preserve">    oparta jest:</w:t>
      </w:r>
    </w:p>
    <w:p w:rsidR="001B5A39" w:rsidRPr="002B3325" w:rsidRDefault="001B5A39" w:rsidP="00EA5210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na zasadzie ryzyka;</w:t>
      </w:r>
    </w:p>
    <w:p w:rsidR="001B5A39" w:rsidRPr="002B3325" w:rsidRDefault="001B5A39" w:rsidP="00EA5210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na zasadzie słuszności;</w:t>
      </w:r>
    </w:p>
    <w:p w:rsidR="001B5A39" w:rsidRPr="002B3325" w:rsidRDefault="00EA5210" w:rsidP="00EA5210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zasadach ogólnych.</w:t>
      </w:r>
    </w:p>
    <w:p w:rsidR="001B5A39" w:rsidRPr="002B3325" w:rsidRDefault="001B5A39" w:rsidP="00EA521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Wierzytelność przedawniona:</w:t>
      </w:r>
    </w:p>
    <w:p w:rsidR="001B5A39" w:rsidRPr="002B3325" w:rsidRDefault="001B5A39" w:rsidP="00EA5210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nie może być potrącona;</w:t>
      </w:r>
    </w:p>
    <w:p w:rsidR="001B5A39" w:rsidRPr="002B3325" w:rsidRDefault="001B5A39" w:rsidP="00EA5210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może być potrącona, jeżeli w chwili gdy potrącenie stało się możliwe przedawnienie</w:t>
      </w:r>
      <w:r w:rsidR="002B3325" w:rsidRPr="002B3325">
        <w:rPr>
          <w:rFonts w:ascii="Times New Roman" w:hAnsi="Times New Roman" w:cs="Times New Roman"/>
          <w:sz w:val="24"/>
          <w:szCs w:val="24"/>
        </w:rPr>
        <w:t xml:space="preserve"> </w:t>
      </w:r>
      <w:r w:rsidRPr="002B3325">
        <w:rPr>
          <w:rFonts w:ascii="Times New Roman" w:hAnsi="Times New Roman" w:cs="Times New Roman"/>
          <w:sz w:val="24"/>
          <w:szCs w:val="24"/>
        </w:rPr>
        <w:t>jeszcze nie nastąpiło;</w:t>
      </w:r>
    </w:p>
    <w:p w:rsidR="000B0C4B" w:rsidRDefault="001B5A39" w:rsidP="00EA5210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3325">
        <w:rPr>
          <w:rFonts w:ascii="Times New Roman" w:hAnsi="Times New Roman" w:cs="Times New Roman"/>
          <w:sz w:val="24"/>
          <w:szCs w:val="24"/>
        </w:rPr>
        <w:t>może być potrącona, jeżeli w chwili gdy potrącenie stało się możliwe roszczenie drugiej</w:t>
      </w:r>
      <w:r w:rsidR="002B3325" w:rsidRPr="002B3325">
        <w:rPr>
          <w:rFonts w:ascii="Times New Roman" w:hAnsi="Times New Roman" w:cs="Times New Roman"/>
          <w:sz w:val="24"/>
          <w:szCs w:val="24"/>
        </w:rPr>
        <w:t xml:space="preserve"> </w:t>
      </w:r>
      <w:r w:rsidR="00EA5210">
        <w:rPr>
          <w:rFonts w:ascii="Times New Roman" w:hAnsi="Times New Roman" w:cs="Times New Roman"/>
          <w:sz w:val="24"/>
          <w:szCs w:val="24"/>
        </w:rPr>
        <w:t>strony nie było przedawnione.</w:t>
      </w:r>
    </w:p>
    <w:p w:rsidR="00106264" w:rsidRDefault="00106264" w:rsidP="00106264">
      <w:pPr>
        <w:pStyle w:val="Akapitzlist"/>
        <w:spacing w:after="0" w:line="36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591037" w:rsidRPr="00591037" w:rsidRDefault="00591037" w:rsidP="0059103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Do wartości przedmiotu sporu:</w:t>
      </w:r>
    </w:p>
    <w:p w:rsidR="00591037" w:rsidRPr="00591037" w:rsidRDefault="00591037" w:rsidP="00591037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zawsze wlicza się odsetki, pożytki i koszty,</w:t>
      </w:r>
    </w:p>
    <w:p w:rsidR="00591037" w:rsidRPr="00591037" w:rsidRDefault="00591037" w:rsidP="00591037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nie wlicza się odsetek pożytków i kosztów,</w:t>
      </w:r>
    </w:p>
    <w:p w:rsidR="00591037" w:rsidRPr="00591037" w:rsidRDefault="00591037" w:rsidP="00591037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nie wlicza się odsetek, pożytków i kosztów żądanych obok roszczenia głównego.</w:t>
      </w:r>
    </w:p>
    <w:p w:rsidR="00591037" w:rsidRPr="00591037" w:rsidRDefault="00591037" w:rsidP="0059103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Jeżeli uzasadniona jest właściwość miejscowa kilku sądów albo gdy powództwo wytacza się przeciwko kilku osobom, dla których według przepisów o właściwości ogólnej właściwe są różne sądy:</w:t>
      </w:r>
    </w:p>
    <w:p w:rsidR="00591037" w:rsidRPr="00591037" w:rsidRDefault="00591037" w:rsidP="00591037">
      <w:pPr>
        <w:pStyle w:val="Akapitzlist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niedopuszczalne jest dochodzenie powództwa objętego jednym pozwem,</w:t>
      </w:r>
    </w:p>
    <w:p w:rsidR="005849F1" w:rsidRPr="00106264" w:rsidRDefault="00591037" w:rsidP="005849F1">
      <w:pPr>
        <w:pStyle w:val="Akapitzlist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wybór międ</w:t>
      </w:r>
      <w:r w:rsidR="00552736">
        <w:rPr>
          <w:rFonts w:ascii="Times New Roman" w:hAnsi="Times New Roman" w:cs="Times New Roman"/>
          <w:sz w:val="24"/>
          <w:szCs w:val="24"/>
        </w:rPr>
        <w:t>zy tymi sądami należy do powoda,</w:t>
      </w:r>
    </w:p>
    <w:p w:rsidR="00591037" w:rsidRPr="005849F1" w:rsidRDefault="00591037" w:rsidP="005849F1">
      <w:pPr>
        <w:pStyle w:val="Akapitzlist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849F1">
        <w:rPr>
          <w:rFonts w:ascii="Times New Roman" w:hAnsi="Times New Roman" w:cs="Times New Roman"/>
          <w:sz w:val="24"/>
          <w:szCs w:val="24"/>
        </w:rPr>
        <w:t xml:space="preserve">wybór między sądami należy do powoda, lecz pozwanym służy prawo zgłoszenia sprzeciwu. </w:t>
      </w:r>
    </w:p>
    <w:p w:rsidR="00591037" w:rsidRPr="00591037" w:rsidRDefault="00591037" w:rsidP="0059103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Osoba ubezwłasnowolniona całkowicie:</w:t>
      </w:r>
    </w:p>
    <w:p w:rsidR="00591037" w:rsidRPr="00591037" w:rsidRDefault="00591037" w:rsidP="00591037">
      <w:pPr>
        <w:pStyle w:val="Akapitzlist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nie ma zdolności sądowej,</w:t>
      </w:r>
    </w:p>
    <w:p w:rsidR="00591037" w:rsidRPr="00591037" w:rsidRDefault="00591037" w:rsidP="00591037">
      <w:pPr>
        <w:pStyle w:val="Akapitzlist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ma zdolność sądową.</w:t>
      </w:r>
    </w:p>
    <w:p w:rsidR="00591037" w:rsidRPr="00591037" w:rsidRDefault="00591037" w:rsidP="00591037">
      <w:pPr>
        <w:pStyle w:val="Akapitzlist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ma ograniczoną zdolność sądową.</w:t>
      </w:r>
    </w:p>
    <w:p w:rsidR="00591037" w:rsidRPr="00591037" w:rsidRDefault="00591037" w:rsidP="0059103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Interwenient uboczny może przystąpić do sprawy:</w:t>
      </w:r>
    </w:p>
    <w:p w:rsidR="00591037" w:rsidRPr="00591037" w:rsidRDefault="00591037" w:rsidP="00591037">
      <w:pPr>
        <w:pStyle w:val="Akapitzlist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w każdym czasie o ile ma interes prawny w tym, aby sprawa została rozstrzygnięta na korzyść jednej ze stron;</w:t>
      </w:r>
    </w:p>
    <w:p w:rsidR="00591037" w:rsidRPr="00591037" w:rsidRDefault="00591037" w:rsidP="00591037">
      <w:pPr>
        <w:pStyle w:val="Akapitzlist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do zamknięcia rozprawy w pierwszej instancji o ile ma interes faktyczny, aby sprawa została rozstrzygnięta na korzyść jednej ze stron;</w:t>
      </w:r>
    </w:p>
    <w:p w:rsidR="00591037" w:rsidRPr="00591037" w:rsidRDefault="00591037" w:rsidP="00591037">
      <w:pPr>
        <w:pStyle w:val="Akapitzlist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w każdym stanie sprawy, aż do zamknięcia rozprawy w drugiej instancji o ile ma interes prawny w tym, aby sprawa została rozstrzygnięta na korzyść jednej ze stron.</w:t>
      </w:r>
    </w:p>
    <w:p w:rsidR="00591037" w:rsidRPr="00591037" w:rsidRDefault="00591037" w:rsidP="0059103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Strona przegrywająca sprawę obowiązana jest zwrócić przeciwnikowi na jego żądanie:</w:t>
      </w:r>
    </w:p>
    <w:p w:rsidR="00591037" w:rsidRPr="00591037" w:rsidRDefault="00591037" w:rsidP="00591037">
      <w:pPr>
        <w:pStyle w:val="Akapitzlist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wszystkie poniesione koszty procesu;</w:t>
      </w:r>
    </w:p>
    <w:p w:rsidR="00591037" w:rsidRPr="00591037" w:rsidRDefault="00591037" w:rsidP="00591037">
      <w:pPr>
        <w:pStyle w:val="Akapitzlist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wszystkie poniesione i udokumentowane koszty procesu;</w:t>
      </w:r>
    </w:p>
    <w:p w:rsidR="00591037" w:rsidRPr="00591037" w:rsidRDefault="00591037" w:rsidP="00591037">
      <w:pPr>
        <w:pStyle w:val="Akapitzlist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 xml:space="preserve">koszty niezbędne do celowego dochodzenia praw i celowej obrony. </w:t>
      </w:r>
    </w:p>
    <w:p w:rsidR="00591037" w:rsidRPr="00591037" w:rsidRDefault="00591037" w:rsidP="0059103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Jeżeli rozstrzygnięcie sprawy zależy od innego toczącego się postępowania cywilnego Sąd:</w:t>
      </w:r>
    </w:p>
    <w:p w:rsidR="00591037" w:rsidRPr="00591037" w:rsidRDefault="00591037" w:rsidP="00591037">
      <w:pPr>
        <w:pStyle w:val="Akapitzlist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może zawiesić postępowanie w sprawie;</w:t>
      </w:r>
    </w:p>
    <w:p w:rsidR="00591037" w:rsidRPr="00591037" w:rsidRDefault="00591037" w:rsidP="00591037">
      <w:pPr>
        <w:pStyle w:val="Akapitzlist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zawiesza postępowanie w sprawie;</w:t>
      </w:r>
    </w:p>
    <w:p w:rsidR="00591037" w:rsidRDefault="00591037" w:rsidP="00591037">
      <w:pPr>
        <w:pStyle w:val="Akapitzlist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 xml:space="preserve">zawieszenie postępowania następuje z mocy prawa. </w:t>
      </w:r>
    </w:p>
    <w:p w:rsidR="00106264" w:rsidRDefault="00106264" w:rsidP="001062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06264" w:rsidRPr="00106264" w:rsidRDefault="00106264" w:rsidP="001062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1037" w:rsidRPr="00591037" w:rsidRDefault="00591037" w:rsidP="0059103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lastRenderedPageBreak/>
        <w:t>Brak po stronie powodowej legitymacji procesowej czynnej skutkuje:</w:t>
      </w:r>
    </w:p>
    <w:p w:rsidR="00591037" w:rsidRPr="00591037" w:rsidRDefault="00591037" w:rsidP="00591037">
      <w:pPr>
        <w:pStyle w:val="Akapitzlist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oddaleniem powództwa,</w:t>
      </w:r>
    </w:p>
    <w:p w:rsidR="00591037" w:rsidRPr="00591037" w:rsidRDefault="00591037" w:rsidP="00591037">
      <w:pPr>
        <w:pStyle w:val="Akapitzlist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odrzuceniem pozwu,</w:t>
      </w:r>
    </w:p>
    <w:p w:rsidR="00591037" w:rsidRPr="00591037" w:rsidRDefault="00591037" w:rsidP="00591037">
      <w:pPr>
        <w:pStyle w:val="Akapitzlist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umorzeniem postępowania.</w:t>
      </w:r>
    </w:p>
    <w:p w:rsidR="00591037" w:rsidRPr="00591037" w:rsidRDefault="00591037" w:rsidP="0059103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 xml:space="preserve">Wyrok zapadły w postępowaniu apelacyjnym staje się prawomocny z chwilą: </w:t>
      </w:r>
    </w:p>
    <w:p w:rsidR="00591037" w:rsidRPr="00591037" w:rsidRDefault="00591037" w:rsidP="00591037">
      <w:pPr>
        <w:pStyle w:val="Akapitzlist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 xml:space="preserve">jego ogłoszenia, </w:t>
      </w:r>
    </w:p>
    <w:p w:rsidR="00591037" w:rsidRPr="00591037" w:rsidRDefault="00591037" w:rsidP="00591037">
      <w:pPr>
        <w:pStyle w:val="Akapitzlist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upływu terminu do wniesienia skargi kasacyjnej lub rozstrzygnięcia o skardze kasacyjnej przez Sąd Najwyższy,</w:t>
      </w:r>
    </w:p>
    <w:p w:rsidR="00591037" w:rsidRPr="00591037" w:rsidRDefault="00591037" w:rsidP="00591037">
      <w:pPr>
        <w:pStyle w:val="Akapitzlist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upływu terminu 30 dni od daty wydania wyroku.</w:t>
      </w:r>
    </w:p>
    <w:p w:rsidR="00591037" w:rsidRPr="00591037" w:rsidRDefault="00591037" w:rsidP="0059103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W sprawach o rozwód skarga kasacyjna:</w:t>
      </w:r>
    </w:p>
    <w:p w:rsidR="00591037" w:rsidRPr="00591037" w:rsidRDefault="00591037" w:rsidP="00591037">
      <w:pPr>
        <w:pStyle w:val="Akapitzlist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służy wyłącznie od rozstrzygnięcia zawartego w wyroku dotyczącego rozwodu,</w:t>
      </w:r>
    </w:p>
    <w:p w:rsidR="00591037" w:rsidRPr="00591037" w:rsidRDefault="00591037" w:rsidP="00591037">
      <w:pPr>
        <w:pStyle w:val="Akapitzlist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służy od wszystkich rozstrzygnięć zawartych w wyroku, z wyjątkiem rozstrzygnięć w przedmiocie alimentów,</w:t>
      </w:r>
    </w:p>
    <w:p w:rsidR="003442CE" w:rsidRPr="00591037" w:rsidRDefault="00591037" w:rsidP="00591037">
      <w:pPr>
        <w:pStyle w:val="Akapitzlist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037">
        <w:rPr>
          <w:rFonts w:ascii="Times New Roman" w:hAnsi="Times New Roman" w:cs="Times New Roman"/>
          <w:sz w:val="24"/>
          <w:szCs w:val="24"/>
        </w:rPr>
        <w:t>jest niedopuszczalna.</w:t>
      </w:r>
    </w:p>
    <w:p w:rsid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1037" w:rsidRDefault="00591037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1037" w:rsidRDefault="00591037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1037" w:rsidRDefault="00591037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1037" w:rsidRDefault="00591037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1037" w:rsidRDefault="00591037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1037" w:rsidRDefault="00591037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1037" w:rsidRDefault="00591037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1037" w:rsidRDefault="00591037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1037" w:rsidRDefault="00591037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1037" w:rsidRDefault="00591037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1440" w:rsidRDefault="00AE1440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1440" w:rsidRDefault="00AE1440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1440" w:rsidRDefault="00AE1440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1440" w:rsidRDefault="00AE1440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1440" w:rsidRDefault="00AE1440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1440" w:rsidRDefault="00AE1440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1440" w:rsidRDefault="00AE1440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1440" w:rsidRDefault="00AE1440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22C2" w:rsidRDefault="006422C2" w:rsidP="0059103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44575" w:rsidRDefault="00444575" w:rsidP="0059103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TEMAT PRACY Z ZAKRESU PRAWA CYWILNEGO</w:t>
      </w:r>
    </w:p>
    <w:p w:rsidR="00337CD1" w:rsidRDefault="00337CD1" w:rsidP="0044457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647D6" w:rsidRPr="004647D6" w:rsidRDefault="00A8275D" w:rsidP="00444575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A8275D">
        <w:rPr>
          <w:rFonts w:ascii="Times New Roman" w:hAnsi="Times New Roman" w:cs="Times New Roman"/>
          <w:b/>
          <w:sz w:val="28"/>
          <w:szCs w:val="24"/>
        </w:rPr>
        <w:t xml:space="preserve">Omów </w:t>
      </w:r>
      <w:r w:rsidR="006422C2">
        <w:rPr>
          <w:rFonts w:ascii="Times New Roman" w:hAnsi="Times New Roman" w:cs="Times New Roman"/>
          <w:b/>
          <w:sz w:val="28"/>
          <w:szCs w:val="24"/>
        </w:rPr>
        <w:t>postępowanie apelacyjne</w:t>
      </w:r>
      <w:r w:rsidR="00F964A4" w:rsidRPr="00F964A4">
        <w:rPr>
          <w:rFonts w:ascii="Times New Roman" w:hAnsi="Times New Roman" w:cs="Times New Roman"/>
          <w:b/>
          <w:sz w:val="28"/>
          <w:szCs w:val="24"/>
        </w:rPr>
        <w:t>.</w:t>
      </w:r>
    </w:p>
    <w:p w:rsidR="005E31D4" w:rsidRDefault="005E31D4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440" w:rsidRDefault="00AE1440" w:rsidP="00B233B7">
      <w:pPr>
        <w:spacing w:after="0" w:line="360" w:lineRule="auto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</w:p>
    <w:p w:rsidR="00AE1440" w:rsidRDefault="00AE1440" w:rsidP="00B233B7">
      <w:pPr>
        <w:spacing w:after="0" w:line="360" w:lineRule="auto"/>
        <w:rPr>
          <w:rFonts w:ascii="Times New Roman" w:hAnsi="Times New Roman" w:cs="Times New Roman"/>
          <w:b/>
          <w:sz w:val="32"/>
          <w:szCs w:val="24"/>
        </w:rPr>
      </w:pPr>
    </w:p>
    <w:p w:rsidR="004647D6" w:rsidRDefault="004647D6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TEMAT PRACY Z ZAKRESU PRAWA KARNEGO</w:t>
      </w:r>
    </w:p>
    <w:p w:rsidR="00337CD1" w:rsidRDefault="00337CD1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647D6" w:rsidRDefault="00A8275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75D">
        <w:rPr>
          <w:rFonts w:ascii="Times New Roman" w:hAnsi="Times New Roman" w:cs="Times New Roman"/>
          <w:b/>
          <w:sz w:val="28"/>
          <w:szCs w:val="28"/>
        </w:rPr>
        <w:t xml:space="preserve">Omów instytucję </w:t>
      </w:r>
      <w:r w:rsidR="00EA5210">
        <w:rPr>
          <w:rFonts w:ascii="Times New Roman" w:hAnsi="Times New Roman" w:cs="Times New Roman"/>
          <w:b/>
          <w:sz w:val="28"/>
          <w:szCs w:val="28"/>
        </w:rPr>
        <w:t>ułaskawienia w prawie karnym.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5AEA" w:rsidRPr="00337CD1" w:rsidRDefault="00315AEA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15AEA" w:rsidRPr="00337CD1" w:rsidSect="00106264">
      <w:footerReference w:type="default" r:id="rId8"/>
      <w:pgSz w:w="11906" w:h="16838"/>
      <w:pgMar w:top="1134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A54" w:rsidRDefault="005B3A54" w:rsidP="005B3A54">
      <w:pPr>
        <w:spacing w:after="0" w:line="240" w:lineRule="auto"/>
      </w:pPr>
      <w:r>
        <w:separator/>
      </w:r>
    </w:p>
  </w:endnote>
  <w:endnote w:type="continuationSeparator" w:id="0">
    <w:p w:rsidR="005B3A54" w:rsidRDefault="005B3A54" w:rsidP="005B3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451954"/>
      <w:docPartObj>
        <w:docPartGallery w:val="Page Numbers (Bottom of Page)"/>
        <w:docPartUnique/>
      </w:docPartObj>
    </w:sdtPr>
    <w:sdtEndPr/>
    <w:sdtContent>
      <w:p w:rsidR="005B3A54" w:rsidRDefault="005B3A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07B">
          <w:rPr>
            <w:noProof/>
          </w:rPr>
          <w:t>8</w:t>
        </w:r>
        <w:r>
          <w:fldChar w:fldCharType="end"/>
        </w:r>
      </w:p>
    </w:sdtContent>
  </w:sdt>
  <w:p w:rsidR="005B3A54" w:rsidRDefault="005B3A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A54" w:rsidRDefault="005B3A54" w:rsidP="005B3A54">
      <w:pPr>
        <w:spacing w:after="0" w:line="240" w:lineRule="auto"/>
      </w:pPr>
      <w:r>
        <w:separator/>
      </w:r>
    </w:p>
  </w:footnote>
  <w:footnote w:type="continuationSeparator" w:id="0">
    <w:p w:rsidR="005B3A54" w:rsidRDefault="005B3A54" w:rsidP="005B3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28AE"/>
    <w:multiLevelType w:val="hybridMultilevel"/>
    <w:tmpl w:val="C6A2E8D8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5354E"/>
    <w:multiLevelType w:val="hybridMultilevel"/>
    <w:tmpl w:val="751C13C2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6A01BC"/>
    <w:multiLevelType w:val="hybridMultilevel"/>
    <w:tmpl w:val="62F27736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246C4E"/>
    <w:multiLevelType w:val="hybridMultilevel"/>
    <w:tmpl w:val="6A1C50CE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5D1115"/>
    <w:multiLevelType w:val="hybridMultilevel"/>
    <w:tmpl w:val="2BE664C8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1C0F75"/>
    <w:multiLevelType w:val="hybridMultilevel"/>
    <w:tmpl w:val="5DEC7C10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97B3508"/>
    <w:multiLevelType w:val="hybridMultilevel"/>
    <w:tmpl w:val="88EEB9A6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B9C5B09"/>
    <w:multiLevelType w:val="hybridMultilevel"/>
    <w:tmpl w:val="5A1AE8B0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F65BC7"/>
    <w:multiLevelType w:val="hybridMultilevel"/>
    <w:tmpl w:val="5F70B4B6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253156F"/>
    <w:multiLevelType w:val="hybridMultilevel"/>
    <w:tmpl w:val="E8B64B36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2F6739D"/>
    <w:multiLevelType w:val="hybridMultilevel"/>
    <w:tmpl w:val="5F70DC10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826045B"/>
    <w:multiLevelType w:val="hybridMultilevel"/>
    <w:tmpl w:val="A31A9362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DB6868"/>
    <w:multiLevelType w:val="hybridMultilevel"/>
    <w:tmpl w:val="5C661596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F8D64CC"/>
    <w:multiLevelType w:val="hybridMultilevel"/>
    <w:tmpl w:val="80BE68A0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1164531"/>
    <w:multiLevelType w:val="hybridMultilevel"/>
    <w:tmpl w:val="6428BB8A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16D522B"/>
    <w:multiLevelType w:val="hybridMultilevel"/>
    <w:tmpl w:val="0828462E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234939"/>
    <w:multiLevelType w:val="hybridMultilevel"/>
    <w:tmpl w:val="A17E0AAA"/>
    <w:lvl w:ilvl="0" w:tplc="9098AB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25258"/>
    <w:multiLevelType w:val="hybridMultilevel"/>
    <w:tmpl w:val="78748FB8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DE94470"/>
    <w:multiLevelType w:val="hybridMultilevel"/>
    <w:tmpl w:val="7BC244D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B323DA"/>
    <w:multiLevelType w:val="hybridMultilevel"/>
    <w:tmpl w:val="2E54AAD0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08E5A4A"/>
    <w:multiLevelType w:val="hybridMultilevel"/>
    <w:tmpl w:val="4A5AAB98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0913C24"/>
    <w:multiLevelType w:val="hybridMultilevel"/>
    <w:tmpl w:val="FA202334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2020703"/>
    <w:multiLevelType w:val="hybridMultilevel"/>
    <w:tmpl w:val="99E218E4"/>
    <w:lvl w:ilvl="0" w:tplc="C1B281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2592C"/>
    <w:multiLevelType w:val="hybridMultilevel"/>
    <w:tmpl w:val="588A054C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3C80864"/>
    <w:multiLevelType w:val="hybridMultilevel"/>
    <w:tmpl w:val="41BC271E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70F60FF"/>
    <w:multiLevelType w:val="hybridMultilevel"/>
    <w:tmpl w:val="B0AE985E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8BC1C71"/>
    <w:multiLevelType w:val="hybridMultilevel"/>
    <w:tmpl w:val="988EF6E6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CF476DA"/>
    <w:multiLevelType w:val="hybridMultilevel"/>
    <w:tmpl w:val="CBEA767E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9330CF"/>
    <w:multiLevelType w:val="hybridMultilevel"/>
    <w:tmpl w:val="602AB080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A6A59FD"/>
    <w:multiLevelType w:val="hybridMultilevel"/>
    <w:tmpl w:val="EABE2D48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2AC1CFB"/>
    <w:multiLevelType w:val="hybridMultilevel"/>
    <w:tmpl w:val="DFB01536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7DB01AC"/>
    <w:multiLevelType w:val="hybridMultilevel"/>
    <w:tmpl w:val="C366B70E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FF679A5"/>
    <w:multiLevelType w:val="hybridMultilevel"/>
    <w:tmpl w:val="FEA6BEFC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1896710"/>
    <w:multiLevelType w:val="hybridMultilevel"/>
    <w:tmpl w:val="3D765E6C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3636755"/>
    <w:multiLevelType w:val="hybridMultilevel"/>
    <w:tmpl w:val="E72051E0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5BC06AF"/>
    <w:multiLevelType w:val="hybridMultilevel"/>
    <w:tmpl w:val="7B0AA6E0"/>
    <w:lvl w:ilvl="0" w:tplc="9098AB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E6B2BAF2">
      <w:start w:val="1"/>
      <w:numFmt w:val="upperLetter"/>
      <w:lvlText w:val="%2."/>
      <w:lvlJc w:val="left"/>
      <w:pPr>
        <w:ind w:left="78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C72A3E"/>
    <w:multiLevelType w:val="hybridMultilevel"/>
    <w:tmpl w:val="891448DA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65314A3"/>
    <w:multiLevelType w:val="hybridMultilevel"/>
    <w:tmpl w:val="DC764382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94B17E2"/>
    <w:multiLevelType w:val="hybridMultilevel"/>
    <w:tmpl w:val="EAC2BADC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BDD16DD"/>
    <w:multiLevelType w:val="hybridMultilevel"/>
    <w:tmpl w:val="BE123B1C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E986ECD"/>
    <w:multiLevelType w:val="hybridMultilevel"/>
    <w:tmpl w:val="08A033F8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F442469"/>
    <w:multiLevelType w:val="hybridMultilevel"/>
    <w:tmpl w:val="09BAA286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2"/>
  </w:num>
  <w:num w:numId="2">
    <w:abstractNumId w:val="7"/>
  </w:num>
  <w:num w:numId="3">
    <w:abstractNumId w:val="30"/>
  </w:num>
  <w:num w:numId="4">
    <w:abstractNumId w:val="40"/>
  </w:num>
  <w:num w:numId="5">
    <w:abstractNumId w:val="2"/>
  </w:num>
  <w:num w:numId="6">
    <w:abstractNumId w:val="5"/>
  </w:num>
  <w:num w:numId="7">
    <w:abstractNumId w:val="25"/>
  </w:num>
  <w:num w:numId="8">
    <w:abstractNumId w:val="24"/>
  </w:num>
  <w:num w:numId="9">
    <w:abstractNumId w:val="3"/>
  </w:num>
  <w:num w:numId="10">
    <w:abstractNumId w:val="1"/>
  </w:num>
  <w:num w:numId="11">
    <w:abstractNumId w:val="21"/>
  </w:num>
  <w:num w:numId="12">
    <w:abstractNumId w:val="19"/>
  </w:num>
  <w:num w:numId="13">
    <w:abstractNumId w:val="39"/>
  </w:num>
  <w:num w:numId="14">
    <w:abstractNumId w:val="23"/>
  </w:num>
  <w:num w:numId="15">
    <w:abstractNumId w:val="0"/>
  </w:num>
  <w:num w:numId="16">
    <w:abstractNumId w:val="36"/>
  </w:num>
  <w:num w:numId="17">
    <w:abstractNumId w:val="26"/>
  </w:num>
  <w:num w:numId="18">
    <w:abstractNumId w:val="17"/>
  </w:num>
  <w:num w:numId="19">
    <w:abstractNumId w:val="31"/>
  </w:num>
  <w:num w:numId="20">
    <w:abstractNumId w:val="10"/>
  </w:num>
  <w:num w:numId="21">
    <w:abstractNumId w:val="37"/>
  </w:num>
  <w:num w:numId="22">
    <w:abstractNumId w:val="41"/>
  </w:num>
  <w:num w:numId="23">
    <w:abstractNumId w:val="9"/>
  </w:num>
  <w:num w:numId="24">
    <w:abstractNumId w:val="18"/>
  </w:num>
  <w:num w:numId="25">
    <w:abstractNumId w:val="27"/>
  </w:num>
  <w:num w:numId="26">
    <w:abstractNumId w:val="11"/>
  </w:num>
  <w:num w:numId="27">
    <w:abstractNumId w:val="12"/>
  </w:num>
  <w:num w:numId="28">
    <w:abstractNumId w:val="29"/>
  </w:num>
  <w:num w:numId="29">
    <w:abstractNumId w:val="35"/>
  </w:num>
  <w:num w:numId="30">
    <w:abstractNumId w:val="33"/>
  </w:num>
  <w:num w:numId="31">
    <w:abstractNumId w:val="38"/>
  </w:num>
  <w:num w:numId="32">
    <w:abstractNumId w:val="13"/>
  </w:num>
  <w:num w:numId="33">
    <w:abstractNumId w:val="16"/>
  </w:num>
  <w:num w:numId="34">
    <w:abstractNumId w:val="28"/>
  </w:num>
  <w:num w:numId="35">
    <w:abstractNumId w:val="8"/>
  </w:num>
  <w:num w:numId="36">
    <w:abstractNumId w:val="20"/>
  </w:num>
  <w:num w:numId="37">
    <w:abstractNumId w:val="4"/>
  </w:num>
  <w:num w:numId="38">
    <w:abstractNumId w:val="6"/>
  </w:num>
  <w:num w:numId="39">
    <w:abstractNumId w:val="15"/>
  </w:num>
  <w:num w:numId="40">
    <w:abstractNumId w:val="32"/>
  </w:num>
  <w:num w:numId="41">
    <w:abstractNumId w:val="14"/>
  </w:num>
  <w:num w:numId="42">
    <w:abstractNumId w:val="3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28"/>
    <w:rsid w:val="000B0C4B"/>
    <w:rsid w:val="00106264"/>
    <w:rsid w:val="00120574"/>
    <w:rsid w:val="001252C0"/>
    <w:rsid w:val="00170A2D"/>
    <w:rsid w:val="00192D3F"/>
    <w:rsid w:val="001B32CF"/>
    <w:rsid w:val="001B5A39"/>
    <w:rsid w:val="001C6FE7"/>
    <w:rsid w:val="00200EFA"/>
    <w:rsid w:val="002048D4"/>
    <w:rsid w:val="0020520B"/>
    <w:rsid w:val="002101DE"/>
    <w:rsid w:val="002673D6"/>
    <w:rsid w:val="002675B3"/>
    <w:rsid w:val="002B1026"/>
    <w:rsid w:val="002B3325"/>
    <w:rsid w:val="002C005B"/>
    <w:rsid w:val="002C0E9A"/>
    <w:rsid w:val="00315AEA"/>
    <w:rsid w:val="00337CD1"/>
    <w:rsid w:val="00342039"/>
    <w:rsid w:val="003442CE"/>
    <w:rsid w:val="00385040"/>
    <w:rsid w:val="0038726D"/>
    <w:rsid w:val="003872D2"/>
    <w:rsid w:val="003911B0"/>
    <w:rsid w:val="00391B60"/>
    <w:rsid w:val="004433D8"/>
    <w:rsid w:val="00444575"/>
    <w:rsid w:val="004647D6"/>
    <w:rsid w:val="00472A6D"/>
    <w:rsid w:val="004D6003"/>
    <w:rsid w:val="00526C01"/>
    <w:rsid w:val="00540F1C"/>
    <w:rsid w:val="00552736"/>
    <w:rsid w:val="0057607B"/>
    <w:rsid w:val="005849F1"/>
    <w:rsid w:val="00591037"/>
    <w:rsid w:val="005B2228"/>
    <w:rsid w:val="005B3A54"/>
    <w:rsid w:val="005D7190"/>
    <w:rsid w:val="005E31D4"/>
    <w:rsid w:val="005F3EA2"/>
    <w:rsid w:val="006332A5"/>
    <w:rsid w:val="006422C2"/>
    <w:rsid w:val="0069347F"/>
    <w:rsid w:val="006F173C"/>
    <w:rsid w:val="00725BF2"/>
    <w:rsid w:val="00782808"/>
    <w:rsid w:val="007A09B9"/>
    <w:rsid w:val="007B2D95"/>
    <w:rsid w:val="007D6109"/>
    <w:rsid w:val="00803C06"/>
    <w:rsid w:val="0082658B"/>
    <w:rsid w:val="00843BBF"/>
    <w:rsid w:val="008B6600"/>
    <w:rsid w:val="008F5D94"/>
    <w:rsid w:val="009561CF"/>
    <w:rsid w:val="009A26FF"/>
    <w:rsid w:val="009C0276"/>
    <w:rsid w:val="00A00128"/>
    <w:rsid w:val="00A56913"/>
    <w:rsid w:val="00A8275D"/>
    <w:rsid w:val="00A8564E"/>
    <w:rsid w:val="00AC67C6"/>
    <w:rsid w:val="00AE1440"/>
    <w:rsid w:val="00B007F3"/>
    <w:rsid w:val="00B13359"/>
    <w:rsid w:val="00B22509"/>
    <w:rsid w:val="00B233B7"/>
    <w:rsid w:val="00B24393"/>
    <w:rsid w:val="00B26019"/>
    <w:rsid w:val="00B52243"/>
    <w:rsid w:val="00B73DA3"/>
    <w:rsid w:val="00B9728D"/>
    <w:rsid w:val="00BA724F"/>
    <w:rsid w:val="00C16D72"/>
    <w:rsid w:val="00C50A43"/>
    <w:rsid w:val="00C52211"/>
    <w:rsid w:val="00C6710D"/>
    <w:rsid w:val="00C7201B"/>
    <w:rsid w:val="00C86CB0"/>
    <w:rsid w:val="00CB75ED"/>
    <w:rsid w:val="00CC3ABB"/>
    <w:rsid w:val="00CF75CF"/>
    <w:rsid w:val="00D40C2B"/>
    <w:rsid w:val="00D54A11"/>
    <w:rsid w:val="00D554FE"/>
    <w:rsid w:val="00D77D78"/>
    <w:rsid w:val="00DB72D3"/>
    <w:rsid w:val="00E43AD3"/>
    <w:rsid w:val="00E57CA2"/>
    <w:rsid w:val="00E71287"/>
    <w:rsid w:val="00EA5210"/>
    <w:rsid w:val="00ED0661"/>
    <w:rsid w:val="00F57E58"/>
    <w:rsid w:val="00F964A4"/>
    <w:rsid w:val="00F97ADA"/>
    <w:rsid w:val="00FA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5E595"/>
  <w15:chartTrackingRefBased/>
  <w15:docId w15:val="{9AB631AE-E6C4-4399-94A5-E047F889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7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5E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73DA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3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A54"/>
  </w:style>
  <w:style w:type="paragraph" w:styleId="Stopka">
    <w:name w:val="footer"/>
    <w:basedOn w:val="Normalny"/>
    <w:link w:val="StopkaZnak"/>
    <w:uiPriority w:val="99"/>
    <w:unhideWhenUsed/>
    <w:rsid w:val="005B3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ABBCE-22AF-4864-A060-7D032AC1D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1138</Words>
  <Characters>6833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Apelacyjny w Łodzi</Company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Depczyński Krzysztof</dc:creator>
  <cp:keywords/>
  <dc:description/>
  <cp:lastModifiedBy>Ertman Agnieszka</cp:lastModifiedBy>
  <cp:revision>4</cp:revision>
  <cp:lastPrinted>2021-05-18T08:59:00Z</cp:lastPrinted>
  <dcterms:created xsi:type="dcterms:W3CDTF">2024-03-11T11:49:00Z</dcterms:created>
  <dcterms:modified xsi:type="dcterms:W3CDTF">2024-03-11T11:55:00Z</dcterms:modified>
</cp:coreProperties>
</file>