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8B" w:rsidRDefault="00CB75ED" w:rsidP="00CB7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7B2D95" w:rsidRPr="007B2D95" w:rsidRDefault="007B2D95" w:rsidP="00CB75ED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</w:t>
      </w:r>
      <w:proofErr w:type="gramStart"/>
      <w:r w:rsidRPr="007B2D95">
        <w:rPr>
          <w:rFonts w:ascii="Times New Roman" w:hAnsi="Times New Roman" w:cs="Times New Roman"/>
          <w:sz w:val="20"/>
          <w:szCs w:val="24"/>
        </w:rPr>
        <w:t>imię</w:t>
      </w:r>
      <w:proofErr w:type="gramEnd"/>
      <w:r w:rsidRPr="007B2D95">
        <w:rPr>
          <w:rFonts w:ascii="Times New Roman" w:hAnsi="Times New Roman" w:cs="Times New Roman"/>
          <w:sz w:val="20"/>
          <w:szCs w:val="24"/>
        </w:rPr>
        <w:t xml:space="preserve"> i nazwisko zdającego</w:t>
      </w:r>
    </w:p>
    <w:p w:rsidR="007B2D95" w:rsidRDefault="007B2D95" w:rsidP="00CB7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040" w:rsidRDefault="00385040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B2D95">
        <w:rPr>
          <w:rFonts w:ascii="Times New Roman" w:hAnsi="Times New Roman" w:cs="Times New Roman"/>
          <w:b/>
          <w:sz w:val="32"/>
          <w:szCs w:val="24"/>
        </w:rPr>
        <w:t>TEST</w:t>
      </w: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7B2D95">
        <w:rPr>
          <w:rFonts w:ascii="Times New Roman" w:hAnsi="Times New Roman" w:cs="Times New Roman"/>
          <w:b/>
          <w:sz w:val="32"/>
          <w:szCs w:val="24"/>
        </w:rPr>
        <w:t>dla</w:t>
      </w:r>
      <w:proofErr w:type="gramEnd"/>
      <w:r w:rsidRPr="007B2D95">
        <w:rPr>
          <w:rFonts w:ascii="Times New Roman" w:hAnsi="Times New Roman" w:cs="Times New Roman"/>
          <w:b/>
          <w:sz w:val="32"/>
          <w:szCs w:val="24"/>
        </w:rPr>
        <w:t xml:space="preserve"> kandydatów na stanowisko asystenta sędziego </w:t>
      </w:r>
      <w:r w:rsidRPr="007B2D95">
        <w:rPr>
          <w:rFonts w:ascii="Times New Roman" w:hAnsi="Times New Roman" w:cs="Times New Roman"/>
          <w:b/>
          <w:sz w:val="32"/>
          <w:szCs w:val="24"/>
        </w:rPr>
        <w:br/>
        <w:t xml:space="preserve">w Sądzie Apelacyjnym w Łodzi </w:t>
      </w:r>
    </w:p>
    <w:p w:rsidR="007B2D95" w:rsidRDefault="007B2D95" w:rsidP="007B2D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Jeżeli w czasie orzekania przez sąd w sprawie karnej obowiązuje ustawa inna niż w czasie popełnienia przestępstwa, stosuje się:</w:t>
      </w:r>
    </w:p>
    <w:p w:rsidR="00834C9F" w:rsidRPr="00834C9F" w:rsidRDefault="00834C9F" w:rsidP="003723E2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ustawę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nową;</w:t>
      </w:r>
    </w:p>
    <w:p w:rsidR="00834C9F" w:rsidRPr="00834C9F" w:rsidRDefault="00834C9F" w:rsidP="003723E2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ustawę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obowiązująca w chwili popełnienia przestępstwa;</w:t>
      </w:r>
    </w:p>
    <w:p w:rsidR="00834C9F" w:rsidRPr="00834C9F" w:rsidRDefault="00834C9F" w:rsidP="003723E2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ustawę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nową, jednakże należy stosować ustawę obowiązującą poprzednio, jeżeli jest </w:t>
      </w:r>
      <w:r w:rsidRPr="00834C9F">
        <w:rPr>
          <w:rFonts w:ascii="Times New Roman" w:hAnsi="Times New Roman" w:cs="Times New Roman"/>
          <w:sz w:val="24"/>
          <w:szCs w:val="24"/>
        </w:rPr>
        <w:t>w</w:t>
      </w:r>
      <w:r w:rsidRPr="00834C9F">
        <w:rPr>
          <w:rFonts w:ascii="Times New Roman" w:hAnsi="Times New Roman" w:cs="Times New Roman"/>
          <w:sz w:val="24"/>
          <w:szCs w:val="24"/>
        </w:rPr>
        <w:t>zględniejsza dla sprawcy.</w:t>
      </w:r>
    </w:p>
    <w:p w:rsidR="008B6600" w:rsidRPr="008B6600" w:rsidRDefault="008B6600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Zbrodnię można popełnić:</w:t>
      </w:r>
    </w:p>
    <w:p w:rsidR="00834C9F" w:rsidRPr="00834C9F" w:rsidRDefault="00834C9F" w:rsidP="003723E2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zarówno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z winy umyślnej jak i nieumyślnej;</w:t>
      </w:r>
    </w:p>
    <w:p w:rsidR="00834C9F" w:rsidRPr="00834C9F" w:rsidRDefault="00834C9F" w:rsidP="003723E2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tylko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z winy umyślnej;</w:t>
      </w:r>
    </w:p>
    <w:p w:rsidR="00834C9F" w:rsidRPr="00834C9F" w:rsidRDefault="00834C9F" w:rsidP="003723E2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tylko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z winy umyślnej z zamiarem bezpośrednim.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 xml:space="preserve">Zgodnie z kodeksem karnym zasadą jest, iż za przestępstwa odpowiada </w:t>
      </w:r>
      <w:proofErr w:type="gramStart"/>
      <w:r w:rsidRPr="00834C9F">
        <w:rPr>
          <w:rFonts w:ascii="Times New Roman" w:hAnsi="Times New Roman" w:cs="Times New Roman"/>
          <w:sz w:val="24"/>
          <w:szCs w:val="24"/>
        </w:rPr>
        <w:t>ten kto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popełnił czyn zabroniony po ukończeniu:</w:t>
      </w:r>
    </w:p>
    <w:p w:rsidR="00834C9F" w:rsidRPr="00834C9F" w:rsidRDefault="00834C9F" w:rsidP="003723E2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16 lat;</w:t>
      </w:r>
    </w:p>
    <w:p w:rsidR="00834C9F" w:rsidRPr="00834C9F" w:rsidRDefault="00834C9F" w:rsidP="003723E2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17 lat;</w:t>
      </w:r>
    </w:p>
    <w:p w:rsidR="00834C9F" w:rsidRPr="00834C9F" w:rsidRDefault="00834C9F" w:rsidP="003723E2">
      <w:pPr>
        <w:pStyle w:val="Akapitzlist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18 lat.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Przygotowanie do popełnienia przestępstwa:</w:t>
      </w:r>
    </w:p>
    <w:p w:rsidR="00834C9F" w:rsidRPr="00834C9F" w:rsidRDefault="00834C9F" w:rsidP="003723E2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jest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zawsze karalne;</w:t>
      </w:r>
    </w:p>
    <w:p w:rsidR="00834C9F" w:rsidRPr="00834C9F" w:rsidRDefault="00834C9F" w:rsidP="003723E2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nigdy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nie jest karalne;</w:t>
      </w:r>
    </w:p>
    <w:p w:rsidR="00834C9F" w:rsidRPr="00834C9F" w:rsidRDefault="00834C9F" w:rsidP="003723E2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 xml:space="preserve">jest karalne tylko </w:t>
      </w:r>
      <w:proofErr w:type="gramStart"/>
      <w:r w:rsidRPr="00834C9F">
        <w:rPr>
          <w:rFonts w:ascii="Times New Roman" w:hAnsi="Times New Roman" w:cs="Times New Roman"/>
          <w:sz w:val="24"/>
          <w:szCs w:val="24"/>
        </w:rPr>
        <w:t>wówczas gdy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ustawa tak stanowi.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 xml:space="preserve">Kara pozbawienia </w:t>
      </w:r>
      <w:proofErr w:type="gramStart"/>
      <w:r w:rsidRPr="00834C9F">
        <w:rPr>
          <w:rFonts w:ascii="Times New Roman" w:hAnsi="Times New Roman" w:cs="Times New Roman"/>
          <w:sz w:val="24"/>
          <w:szCs w:val="24"/>
        </w:rPr>
        <w:t>wolności :</w:t>
      </w:r>
      <w:proofErr w:type="gramEnd"/>
    </w:p>
    <w:p w:rsidR="00834C9F" w:rsidRPr="00834C9F" w:rsidRDefault="00834C9F" w:rsidP="003723E2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trwa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najkrócej jeden miesiąc a najdłużej 15 lat;</w:t>
      </w:r>
    </w:p>
    <w:p w:rsidR="00834C9F" w:rsidRPr="00834C9F" w:rsidRDefault="00834C9F" w:rsidP="003723E2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trwa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najkrócej jeden miesiąc a najdłużej 20 lat.</w:t>
      </w:r>
    </w:p>
    <w:p w:rsidR="00834C9F" w:rsidRPr="00834C9F" w:rsidRDefault="00834C9F" w:rsidP="003723E2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lastRenderedPageBreak/>
        <w:t>trwa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najkrócej jeden miesiąc a najdłużej 30 lat.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Warunkowe umorzenie postępowania karnego następuje na okres próby, który wynosi:</w:t>
      </w:r>
    </w:p>
    <w:p w:rsidR="00834C9F" w:rsidRPr="00834C9F" w:rsidRDefault="00834C9F" w:rsidP="003723E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trzech lat;</w:t>
      </w:r>
    </w:p>
    <w:p w:rsidR="00834C9F" w:rsidRPr="00834C9F" w:rsidRDefault="00834C9F" w:rsidP="003723E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roku do trzech lat;</w:t>
      </w:r>
    </w:p>
    <w:p w:rsidR="00834C9F" w:rsidRPr="00834C9F" w:rsidRDefault="00834C9F" w:rsidP="003723E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roku do 5 lat.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Osobę skazaną w warunkach w art. 64 § 1 k.k. można warunkowo zwolnić po odbyciu:</w:t>
      </w:r>
    </w:p>
    <w:p w:rsidR="00834C9F" w:rsidRPr="00834C9F" w:rsidRDefault="00834C9F" w:rsidP="003723E2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dwóch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trzecich kary;</w:t>
      </w:r>
    </w:p>
    <w:p w:rsidR="00834C9F" w:rsidRPr="00834C9F" w:rsidRDefault="00834C9F" w:rsidP="003723E2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połowy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kary;</w:t>
      </w:r>
    </w:p>
    <w:p w:rsidR="00834C9F" w:rsidRPr="00834C9F" w:rsidRDefault="00834C9F" w:rsidP="003723E2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trzech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czwartych kary.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Gdy czyn stanowi zbrodnię zabójstwa, karalność przestępstwa ustaje, jeżeli od czasu jego popełnienia upłynęło:</w:t>
      </w:r>
    </w:p>
    <w:p w:rsidR="00834C9F" w:rsidRPr="00834C9F" w:rsidRDefault="00834C9F" w:rsidP="003723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20 lat;</w:t>
      </w:r>
    </w:p>
    <w:p w:rsidR="00834C9F" w:rsidRPr="00834C9F" w:rsidRDefault="00834C9F" w:rsidP="003723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30 lat;</w:t>
      </w:r>
    </w:p>
    <w:p w:rsidR="00834C9F" w:rsidRPr="00834C9F" w:rsidRDefault="00834C9F" w:rsidP="003723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 xml:space="preserve">40 lat.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W prawie karnym mieniem wielkiej wartości jest mienie, którego wartość w czasie popełnienia czynu zabronionego przekracza:</w:t>
      </w:r>
    </w:p>
    <w:p w:rsidR="00834C9F" w:rsidRPr="00834C9F" w:rsidRDefault="00834C9F" w:rsidP="003723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1 000 000 złotych;</w:t>
      </w:r>
    </w:p>
    <w:p w:rsidR="00834C9F" w:rsidRPr="00834C9F" w:rsidRDefault="00834C9F" w:rsidP="003723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5 000 000 złotych;</w:t>
      </w:r>
    </w:p>
    <w:p w:rsidR="00834C9F" w:rsidRPr="00834C9F" w:rsidRDefault="00834C9F" w:rsidP="003723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10 000 000 złotych.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Sąd rejonowy orzeka w pierwszej instancji:</w:t>
      </w:r>
    </w:p>
    <w:p w:rsidR="00834C9F" w:rsidRPr="00834C9F" w:rsidRDefault="00834C9F" w:rsidP="003723E2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tylko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w sprawach o występki;</w:t>
      </w:r>
    </w:p>
    <w:p w:rsidR="00834C9F" w:rsidRPr="00834C9F" w:rsidRDefault="00834C9F" w:rsidP="003723E2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wprawach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o występki i o zbrodnie wskazane w ustawie;</w:t>
      </w:r>
    </w:p>
    <w:p w:rsidR="00834C9F" w:rsidRPr="00834C9F" w:rsidRDefault="00834C9F" w:rsidP="003723E2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we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wszystkich sprawach, z wyjątkiem spraw przekazanych ustawą do właściwości innego sądu.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Sąd w sprawie karnej jest związany:</w:t>
      </w:r>
    </w:p>
    <w:p w:rsidR="00834C9F" w:rsidRPr="00834C9F" w:rsidRDefault="00834C9F" w:rsidP="003723E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prawomocnym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rozstrzygnięciem sądu kształtującym prawo lub stosunek prawny;</w:t>
      </w:r>
    </w:p>
    <w:p w:rsidR="00834C9F" w:rsidRPr="00834C9F" w:rsidRDefault="00834C9F" w:rsidP="003723E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prawomocnym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wyrokiem sądu;</w:t>
      </w:r>
    </w:p>
    <w:p w:rsidR="00834C9F" w:rsidRPr="00834C9F" w:rsidRDefault="00834C9F" w:rsidP="003723E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prawomocnym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orzeczeniem sądu.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W sprawach o przestępstwa ścigane na wniosek postępowanie toczy się z urzędu z chwilą:</w:t>
      </w:r>
    </w:p>
    <w:p w:rsidR="00834C9F" w:rsidRPr="00834C9F" w:rsidRDefault="00834C9F" w:rsidP="003723E2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przedstawienia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zarzutu;</w:t>
      </w:r>
    </w:p>
    <w:p w:rsidR="00834C9F" w:rsidRPr="00834C9F" w:rsidRDefault="00834C9F" w:rsidP="003723E2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złożenia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wniosku o ściganie;</w:t>
      </w:r>
    </w:p>
    <w:p w:rsidR="00834C9F" w:rsidRPr="00834C9F" w:rsidRDefault="00834C9F" w:rsidP="003723E2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wniesienia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aktu oskarżenia.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 xml:space="preserve">Pokrzywdzonym </w:t>
      </w:r>
      <w:proofErr w:type="gramStart"/>
      <w:r w:rsidRPr="00834C9F">
        <w:rPr>
          <w:rFonts w:ascii="Times New Roman" w:hAnsi="Times New Roman" w:cs="Times New Roman"/>
          <w:sz w:val="24"/>
          <w:szCs w:val="24"/>
        </w:rPr>
        <w:t>jest :</w:t>
      </w:r>
      <w:proofErr w:type="gramEnd"/>
    </w:p>
    <w:p w:rsidR="00834C9F" w:rsidRPr="00834C9F" w:rsidRDefault="00834C9F" w:rsidP="003723E2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osoba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fizyczna lub prawna, której dobro prawne zostało naruszone lub zagrożone przez przestępstwo;</w:t>
      </w:r>
    </w:p>
    <w:p w:rsidR="00834C9F" w:rsidRPr="00834C9F" w:rsidRDefault="00834C9F" w:rsidP="003723E2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osoba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fizyczna lub prawna, której dobro prawne zostało bezpośrednio naruszone lub zagrożone przez przestępstwo;</w:t>
      </w:r>
    </w:p>
    <w:p w:rsidR="00834C9F" w:rsidRPr="00834C9F" w:rsidRDefault="00834C9F" w:rsidP="003723E2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osoba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fizyczna lub prawna, której dobro prawne zostało naruszone przez przestępstwo.</w:t>
      </w:r>
    </w:p>
    <w:p w:rsidR="00834C9F" w:rsidRPr="00834C9F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4C9F">
        <w:rPr>
          <w:rFonts w:ascii="Times New Roman" w:hAnsi="Times New Roman" w:cs="Times New Roman"/>
          <w:sz w:val="24"/>
          <w:szCs w:val="24"/>
        </w:rPr>
        <w:t>Pokrzywdzony, a także prokurator może złożyć wniosek o naprawienie szkody wyrządzonej przestępstwem:</w:t>
      </w:r>
    </w:p>
    <w:p w:rsidR="00834C9F" w:rsidRPr="00834C9F" w:rsidRDefault="00834C9F" w:rsidP="003723E2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aż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do momentu wniesienia aktu oskarżenia;</w:t>
      </w:r>
    </w:p>
    <w:p w:rsidR="00834C9F" w:rsidRPr="00834C9F" w:rsidRDefault="00834C9F" w:rsidP="003723E2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aż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do momentu otwarcia przewodu sadowego;</w:t>
      </w:r>
    </w:p>
    <w:p w:rsidR="00834C9F" w:rsidRPr="00834C9F" w:rsidRDefault="00834C9F" w:rsidP="003723E2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4C9F">
        <w:rPr>
          <w:rFonts w:ascii="Times New Roman" w:hAnsi="Times New Roman" w:cs="Times New Roman"/>
          <w:sz w:val="24"/>
          <w:szCs w:val="24"/>
        </w:rPr>
        <w:t>aż</w:t>
      </w:r>
      <w:proofErr w:type="gramEnd"/>
      <w:r w:rsidRPr="00834C9F">
        <w:rPr>
          <w:rFonts w:ascii="Times New Roman" w:hAnsi="Times New Roman" w:cs="Times New Roman"/>
          <w:sz w:val="24"/>
          <w:szCs w:val="24"/>
        </w:rPr>
        <w:t xml:space="preserve"> do momentu zamknięcia przewodu sądowego na rozprawie głównej.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54B4">
        <w:rPr>
          <w:rFonts w:ascii="Times New Roman" w:hAnsi="Times New Roman" w:cs="Times New Roman"/>
          <w:sz w:val="24"/>
          <w:szCs w:val="24"/>
        </w:rPr>
        <w:t xml:space="preserve">Oskarżony musi mieć obrońcę w postępowaniu przed sądem </w:t>
      </w:r>
      <w:proofErr w:type="gramStart"/>
      <w:r w:rsidRPr="000F54B4">
        <w:rPr>
          <w:rFonts w:ascii="Times New Roman" w:hAnsi="Times New Roman" w:cs="Times New Roman"/>
          <w:sz w:val="24"/>
          <w:szCs w:val="24"/>
        </w:rPr>
        <w:t>okręgowym jako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 sądem I instancji:</w:t>
      </w:r>
    </w:p>
    <w:p w:rsidR="00834C9F" w:rsidRPr="000F54B4" w:rsidRDefault="00834C9F" w:rsidP="003723E2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jeżeli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 jest pozbawiony wolności;</w:t>
      </w:r>
    </w:p>
    <w:p w:rsidR="00834C9F" w:rsidRPr="000F54B4" w:rsidRDefault="00834C9F" w:rsidP="003723E2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jeżeli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 zarzucono mu zbrodnię;</w:t>
      </w:r>
    </w:p>
    <w:p w:rsidR="00834C9F" w:rsidRPr="000F54B4" w:rsidRDefault="00834C9F" w:rsidP="003723E2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zawsze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 musi mieć obrońcę.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54B4">
        <w:rPr>
          <w:rFonts w:ascii="Times New Roman" w:hAnsi="Times New Roman" w:cs="Times New Roman"/>
          <w:sz w:val="24"/>
          <w:szCs w:val="24"/>
        </w:rPr>
        <w:t>Termin do wniesienia zażalenia na postanowienie wydane w postępowaniu karnym jest terminem:</w:t>
      </w:r>
    </w:p>
    <w:p w:rsidR="00834C9F" w:rsidRPr="000F54B4" w:rsidRDefault="00834C9F" w:rsidP="003723E2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instrukcyjnym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834C9F" w:rsidP="003723E2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zwitym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834C9F" w:rsidP="003723E2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prekluzyjnym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54B4">
        <w:rPr>
          <w:rFonts w:ascii="Times New Roman" w:hAnsi="Times New Roman" w:cs="Times New Roman"/>
          <w:sz w:val="24"/>
          <w:szCs w:val="24"/>
        </w:rPr>
        <w:t xml:space="preserve">Podczas okazania osoba okazywana powinna znajdować się w grupie obejmującej </w:t>
      </w:r>
      <w:proofErr w:type="gramStart"/>
      <w:r w:rsidR="000F54B4">
        <w:rPr>
          <w:rFonts w:ascii="Times New Roman" w:hAnsi="Times New Roman" w:cs="Times New Roman"/>
          <w:sz w:val="24"/>
          <w:szCs w:val="24"/>
        </w:rPr>
        <w:t>łącznie</w:t>
      </w:r>
      <w:r w:rsidR="000F54B4" w:rsidRPr="000F54B4">
        <w:rPr>
          <w:rFonts w:ascii="Times New Roman" w:hAnsi="Times New Roman" w:cs="Times New Roman"/>
          <w:sz w:val="24"/>
          <w:szCs w:val="24"/>
        </w:rPr>
        <w:t xml:space="preserve"> co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 najmniej:</w:t>
      </w:r>
    </w:p>
    <w:p w:rsidR="00834C9F" w:rsidRPr="000F54B4" w:rsidRDefault="00834C9F" w:rsidP="003723E2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dwie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 osoby</w:t>
      </w:r>
    </w:p>
    <w:p w:rsidR="00834C9F" w:rsidRPr="000F54B4" w:rsidRDefault="00834C9F" w:rsidP="003723E2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trzy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 osoby;</w:t>
      </w:r>
    </w:p>
    <w:p w:rsidR="00834C9F" w:rsidRPr="000F54B4" w:rsidRDefault="00834C9F" w:rsidP="003723E2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cztery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 osoby.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834C9F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54B4">
        <w:rPr>
          <w:rFonts w:ascii="Times New Roman" w:hAnsi="Times New Roman" w:cs="Times New Roman"/>
          <w:sz w:val="24"/>
          <w:szCs w:val="24"/>
        </w:rPr>
        <w:t>W celu wydania opinii o stanie zdrowia psychicznego oskarżonego sąd, a w postępowaniu przygotowawczym prokurator, powołuje:</w:t>
      </w:r>
    </w:p>
    <w:p w:rsidR="00834C9F" w:rsidRPr="000F54B4" w:rsidRDefault="00834C9F" w:rsidP="003723E2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biegłego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 lekarza psychiatrę;</w:t>
      </w:r>
    </w:p>
    <w:p w:rsidR="00834C9F" w:rsidRPr="000F54B4" w:rsidRDefault="00834C9F" w:rsidP="003723E2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co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 najmniej dwóch biegłych lekarzy psychiatrów;</w:t>
      </w:r>
    </w:p>
    <w:p w:rsidR="00834C9F" w:rsidRPr="000F54B4" w:rsidRDefault="00834C9F" w:rsidP="003723E2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54B4">
        <w:rPr>
          <w:rFonts w:ascii="Times New Roman" w:hAnsi="Times New Roman" w:cs="Times New Roman"/>
          <w:sz w:val="24"/>
          <w:szCs w:val="24"/>
        </w:rPr>
        <w:t>dwóch</w:t>
      </w:r>
      <w:proofErr w:type="gramEnd"/>
      <w:r w:rsidRPr="000F54B4">
        <w:rPr>
          <w:rFonts w:ascii="Times New Roman" w:hAnsi="Times New Roman" w:cs="Times New Roman"/>
          <w:sz w:val="24"/>
          <w:szCs w:val="24"/>
        </w:rPr>
        <w:t xml:space="preserve"> biegłych lekarzy psychiatrów i biegłego psychologa.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4B4" w:rsidRPr="000F54B4" w:rsidRDefault="000F54B4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0F54B4">
        <w:rPr>
          <w:rFonts w:ascii="Times New Roman" w:hAnsi="Times New Roman"/>
          <w:sz w:val="24"/>
          <w:szCs w:val="24"/>
        </w:rPr>
        <w:t>Każdy człowiek ma zdolność prawną:</w:t>
      </w:r>
    </w:p>
    <w:p w:rsidR="000F54B4" w:rsidRPr="000F54B4" w:rsidRDefault="000F54B4" w:rsidP="003723E2">
      <w:pPr>
        <w:pStyle w:val="Akapitzlist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F54B4">
        <w:rPr>
          <w:rFonts w:ascii="Times New Roman" w:hAnsi="Times New Roman"/>
          <w:sz w:val="24"/>
          <w:szCs w:val="24"/>
        </w:rPr>
        <w:t>od</w:t>
      </w:r>
      <w:proofErr w:type="gramEnd"/>
      <w:r w:rsidRPr="000F54B4">
        <w:rPr>
          <w:rFonts w:ascii="Times New Roman" w:hAnsi="Times New Roman"/>
          <w:sz w:val="24"/>
          <w:szCs w:val="24"/>
        </w:rPr>
        <w:t xml:space="preserve"> chwili poczęcia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0F54B4" w:rsidRDefault="000F54B4" w:rsidP="003723E2">
      <w:pPr>
        <w:pStyle w:val="Akapitzlist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F54B4">
        <w:rPr>
          <w:rFonts w:ascii="Times New Roman" w:hAnsi="Times New Roman"/>
          <w:sz w:val="24"/>
          <w:szCs w:val="24"/>
        </w:rPr>
        <w:t>z</w:t>
      </w:r>
      <w:proofErr w:type="gramEnd"/>
      <w:r w:rsidRPr="000F54B4">
        <w:rPr>
          <w:rFonts w:ascii="Times New Roman" w:hAnsi="Times New Roman"/>
          <w:sz w:val="24"/>
          <w:szCs w:val="24"/>
        </w:rPr>
        <w:t xml:space="preserve"> chwilą uzyskania pełnoletności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Default="000F54B4" w:rsidP="003723E2">
      <w:pPr>
        <w:pStyle w:val="Akapitzlist"/>
        <w:numPr>
          <w:ilvl w:val="0"/>
          <w:numId w:val="29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F54B4">
        <w:rPr>
          <w:rFonts w:ascii="Times New Roman" w:hAnsi="Times New Roman"/>
          <w:sz w:val="24"/>
          <w:szCs w:val="24"/>
        </w:rPr>
        <w:t>od</w:t>
      </w:r>
      <w:proofErr w:type="gramEnd"/>
      <w:r w:rsidRPr="000F54B4">
        <w:rPr>
          <w:rFonts w:ascii="Times New Roman" w:hAnsi="Times New Roman"/>
          <w:sz w:val="24"/>
          <w:szCs w:val="24"/>
        </w:rPr>
        <w:t xml:space="preserve"> chwili urodzenia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0F54B4" w:rsidRPr="000F54B4" w:rsidRDefault="000F54B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0F54B4" w:rsidRDefault="000F54B4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0F54B4">
        <w:rPr>
          <w:rFonts w:ascii="Times New Roman" w:hAnsi="Times New Roman"/>
          <w:sz w:val="24"/>
          <w:szCs w:val="24"/>
        </w:rPr>
        <w:t>Osobami prawnymi są: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0F54B4" w:rsidRDefault="000F54B4" w:rsidP="003723E2">
      <w:pPr>
        <w:pStyle w:val="Akapitzlist"/>
        <w:numPr>
          <w:ilvl w:val="0"/>
          <w:numId w:val="3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F54B4">
        <w:rPr>
          <w:rFonts w:ascii="Times New Roman" w:hAnsi="Times New Roman"/>
          <w:sz w:val="24"/>
          <w:szCs w:val="24"/>
        </w:rPr>
        <w:t>jednostki</w:t>
      </w:r>
      <w:proofErr w:type="gramEnd"/>
      <w:r w:rsidRPr="000F54B4">
        <w:rPr>
          <w:rFonts w:ascii="Times New Roman" w:hAnsi="Times New Roman"/>
          <w:sz w:val="24"/>
          <w:szCs w:val="24"/>
        </w:rPr>
        <w:t xml:space="preserve"> organizacyjne Skarbu Państwa</w:t>
      </w:r>
    </w:p>
    <w:p w:rsidR="000F54B4" w:rsidRPr="000F54B4" w:rsidRDefault="000F54B4" w:rsidP="003723E2">
      <w:pPr>
        <w:pStyle w:val="Akapitzlist"/>
        <w:numPr>
          <w:ilvl w:val="0"/>
          <w:numId w:val="3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0F54B4">
        <w:rPr>
          <w:rFonts w:ascii="Times New Roman" w:hAnsi="Times New Roman"/>
          <w:sz w:val="24"/>
          <w:szCs w:val="24"/>
        </w:rPr>
        <w:t>Skarb Państwa i jednostki organizacyjne, którym przepisy szczególne przyznają osobowość prawną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Default="000F54B4" w:rsidP="003723E2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F54B4">
        <w:rPr>
          <w:rFonts w:ascii="Times New Roman" w:hAnsi="Times New Roman"/>
          <w:sz w:val="24"/>
          <w:szCs w:val="24"/>
        </w:rPr>
        <w:t>jednostki</w:t>
      </w:r>
      <w:proofErr w:type="gramEnd"/>
      <w:r w:rsidRPr="000F54B4">
        <w:rPr>
          <w:rFonts w:ascii="Times New Roman" w:hAnsi="Times New Roman"/>
          <w:sz w:val="24"/>
          <w:szCs w:val="24"/>
        </w:rPr>
        <w:t xml:space="preserve"> organizacyjne działające na </w:t>
      </w:r>
      <w:r w:rsidRPr="000F54B4">
        <w:rPr>
          <w:rFonts w:ascii="Times New Roman" w:hAnsi="Times New Roman"/>
          <w:sz w:val="24"/>
          <w:szCs w:val="24"/>
        </w:rPr>
        <w:t>podstawie przepisów</w:t>
      </w:r>
      <w:r w:rsidRPr="000F54B4">
        <w:rPr>
          <w:rFonts w:ascii="Times New Roman" w:hAnsi="Times New Roman"/>
          <w:sz w:val="24"/>
          <w:szCs w:val="24"/>
        </w:rPr>
        <w:t xml:space="preserve"> ustawowych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0F54B4" w:rsidRDefault="000F54B4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0F54B4">
        <w:rPr>
          <w:rFonts w:ascii="Times New Roman" w:hAnsi="Times New Roman"/>
          <w:sz w:val="24"/>
          <w:szCs w:val="24"/>
        </w:rPr>
        <w:t>Nieruchomościami są:</w:t>
      </w:r>
    </w:p>
    <w:p w:rsidR="000F54B4" w:rsidRPr="000F54B4" w:rsidRDefault="002E29D4" w:rsidP="003723E2">
      <w:pPr>
        <w:pStyle w:val="Akapitzlist"/>
        <w:numPr>
          <w:ilvl w:val="0"/>
          <w:numId w:val="3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rzeczy</w:t>
      </w:r>
      <w:proofErr w:type="gramEnd"/>
      <w:r w:rsidR="000F54B4">
        <w:rPr>
          <w:rFonts w:ascii="Times New Roman" w:hAnsi="Times New Roman"/>
          <w:sz w:val="24"/>
          <w:szCs w:val="24"/>
        </w:rPr>
        <w:t xml:space="preserve"> nieruchom</w:t>
      </w:r>
      <w:r>
        <w:rPr>
          <w:rFonts w:ascii="Times New Roman" w:hAnsi="Times New Roman"/>
          <w:sz w:val="24"/>
          <w:szCs w:val="24"/>
        </w:rPr>
        <w:t>e;</w:t>
      </w:r>
    </w:p>
    <w:p w:rsidR="000F54B4" w:rsidRPr="000F54B4" w:rsidRDefault="000F54B4" w:rsidP="003723E2">
      <w:pPr>
        <w:pStyle w:val="Akapitzlist"/>
        <w:numPr>
          <w:ilvl w:val="0"/>
          <w:numId w:val="3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części</w:t>
      </w:r>
      <w:proofErr w:type="gramEnd"/>
      <w:r>
        <w:rPr>
          <w:rFonts w:ascii="Times New Roman" w:hAnsi="Times New Roman"/>
          <w:sz w:val="24"/>
          <w:szCs w:val="24"/>
        </w:rPr>
        <w:t xml:space="preserve"> powierzchni ziemskiej </w:t>
      </w:r>
      <w:r w:rsidRPr="000F54B4">
        <w:rPr>
          <w:rFonts w:ascii="Times New Roman" w:hAnsi="Times New Roman"/>
          <w:sz w:val="24"/>
          <w:szCs w:val="24"/>
        </w:rPr>
        <w:t>stanowiące odrębny przedmiot własności, jak również budynki trwal</w:t>
      </w:r>
      <w:r>
        <w:rPr>
          <w:rFonts w:ascii="Times New Roman" w:hAnsi="Times New Roman"/>
          <w:sz w:val="24"/>
          <w:szCs w:val="24"/>
        </w:rPr>
        <w:t>e z gruntem związane</w:t>
      </w:r>
      <w:r w:rsidRPr="000F54B4">
        <w:rPr>
          <w:rFonts w:ascii="Times New Roman" w:hAnsi="Times New Roman"/>
          <w:sz w:val="24"/>
          <w:szCs w:val="24"/>
        </w:rPr>
        <w:t xml:space="preserve"> lub ich części, jeżeli na mocy przepisów szczególnych stanowią odrębny od gruntu przedmiot własności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Default="002E29D4" w:rsidP="003723E2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części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F54B4" w:rsidRPr="000F54B4">
        <w:rPr>
          <w:rFonts w:ascii="Times New Roman" w:hAnsi="Times New Roman"/>
          <w:sz w:val="24"/>
          <w:szCs w:val="24"/>
        </w:rPr>
        <w:t xml:space="preserve">powierzchni ziemskiej stanowiące odrębny przedmiot własności wpisane </w:t>
      </w:r>
      <w:r w:rsidR="000F54B4" w:rsidRPr="000F54B4">
        <w:rPr>
          <w:rFonts w:ascii="Times New Roman" w:hAnsi="Times New Roman"/>
          <w:sz w:val="24"/>
          <w:szCs w:val="24"/>
        </w:rPr>
        <w:br/>
        <w:t>do ksiąg wieczystych</w:t>
      </w:r>
      <w:r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t>Ofertę stanowi:</w:t>
      </w:r>
    </w:p>
    <w:p w:rsidR="000F54B4" w:rsidRPr="002E29D4" w:rsidRDefault="000F54B4" w:rsidP="003723E2">
      <w:pPr>
        <w:pStyle w:val="Akapitzlist"/>
        <w:numPr>
          <w:ilvl w:val="0"/>
          <w:numId w:val="3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oświadczenie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drugiej stronie woli zawarcia umowy, jeżeli określa istotne postanowienia tej umowy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0F54B4" w:rsidP="003723E2">
      <w:pPr>
        <w:pStyle w:val="Akapitzlist"/>
        <w:numPr>
          <w:ilvl w:val="0"/>
          <w:numId w:val="3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publiczne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oświadczenie woli zawarcia umowy, jeżeli określa wszystkie postanowienia tej umowy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0F54B4" w:rsidP="003723E2">
      <w:pPr>
        <w:pStyle w:val="Akapitzlist"/>
        <w:numPr>
          <w:ilvl w:val="0"/>
          <w:numId w:val="3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oświadczenie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drugiej stronie woli zawarcia umowy, jeżeli określa wszystkie postanowienia tej umowy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0F54B4" w:rsidRDefault="000F54B4" w:rsidP="002E29D4">
      <w:pPr>
        <w:spacing w:line="256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lastRenderedPageBreak/>
        <w:t xml:space="preserve">W razie </w:t>
      </w:r>
      <w:proofErr w:type="gramStart"/>
      <w:r w:rsidRPr="002E29D4">
        <w:rPr>
          <w:rFonts w:ascii="Times New Roman" w:hAnsi="Times New Roman"/>
          <w:sz w:val="24"/>
          <w:szCs w:val="24"/>
        </w:rPr>
        <w:t>błędu co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do treści czynności prawnej:</w:t>
      </w:r>
    </w:p>
    <w:p w:rsidR="000F54B4" w:rsidRPr="002E29D4" w:rsidRDefault="000F54B4" w:rsidP="003723E2">
      <w:pPr>
        <w:pStyle w:val="Akapitzlist"/>
        <w:numPr>
          <w:ilvl w:val="0"/>
          <w:numId w:val="3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czynność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prawna jest bezwzględnie nieważna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0F54B4" w:rsidP="003723E2">
      <w:pPr>
        <w:pStyle w:val="Akapitzlist"/>
        <w:numPr>
          <w:ilvl w:val="0"/>
          <w:numId w:val="3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ważność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czynności prawnej zależy od jej potwierdzenia przez adresata oświadczenia woli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2E29D4" w:rsidRDefault="000F54B4" w:rsidP="003723E2">
      <w:pPr>
        <w:pStyle w:val="Akapitzlist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można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się uchylić od skutków prawnych oświadczenia woli na warunkach określonych w ustawie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t>Przedawnieniu ulegają:</w:t>
      </w:r>
    </w:p>
    <w:p w:rsidR="000F54B4" w:rsidRPr="002E29D4" w:rsidRDefault="000F54B4" w:rsidP="003723E2">
      <w:pPr>
        <w:pStyle w:val="Akapitzlist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roszczenia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majątkowe i niemajątkowe</w:t>
      </w:r>
      <w:r w:rsidR="002E29D4">
        <w:rPr>
          <w:rFonts w:ascii="Times New Roman" w:hAnsi="Times New Roman"/>
          <w:sz w:val="24"/>
          <w:szCs w:val="24"/>
        </w:rPr>
        <w:t>;</w:t>
      </w:r>
      <w:r w:rsidRPr="002E29D4">
        <w:rPr>
          <w:rFonts w:ascii="Times New Roman" w:hAnsi="Times New Roman"/>
          <w:sz w:val="24"/>
          <w:szCs w:val="24"/>
        </w:rPr>
        <w:t xml:space="preserve"> </w:t>
      </w:r>
    </w:p>
    <w:p w:rsidR="000F54B4" w:rsidRPr="002E29D4" w:rsidRDefault="000F54B4" w:rsidP="003723E2">
      <w:pPr>
        <w:pStyle w:val="Akapitzlist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roszczenia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</w:t>
      </w:r>
      <w:r w:rsidR="002E29D4" w:rsidRPr="002E29D4">
        <w:rPr>
          <w:rFonts w:ascii="Times New Roman" w:hAnsi="Times New Roman"/>
          <w:sz w:val="24"/>
          <w:szCs w:val="24"/>
        </w:rPr>
        <w:t>niemajątkowe, jeśli</w:t>
      </w:r>
      <w:r w:rsidRPr="002E29D4">
        <w:rPr>
          <w:rFonts w:ascii="Times New Roman" w:hAnsi="Times New Roman"/>
          <w:sz w:val="24"/>
          <w:szCs w:val="24"/>
        </w:rPr>
        <w:t xml:space="preserve"> przepisy szczególne tak stanowią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Default="000F54B4" w:rsidP="003723E2">
      <w:pPr>
        <w:pStyle w:val="Akapitzlist"/>
        <w:numPr>
          <w:ilvl w:val="0"/>
          <w:numId w:val="3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roszc</w:t>
      </w:r>
      <w:r w:rsidR="002E29D4">
        <w:rPr>
          <w:rFonts w:ascii="Times New Roman" w:hAnsi="Times New Roman"/>
          <w:sz w:val="24"/>
          <w:szCs w:val="24"/>
        </w:rPr>
        <w:t>zenia</w:t>
      </w:r>
      <w:proofErr w:type="gramEnd"/>
      <w:r w:rsidR="002E29D4">
        <w:rPr>
          <w:rFonts w:ascii="Times New Roman" w:hAnsi="Times New Roman"/>
          <w:sz w:val="24"/>
          <w:szCs w:val="24"/>
        </w:rPr>
        <w:t xml:space="preserve"> majątkowe z zastrzeżeniem</w:t>
      </w:r>
      <w:r w:rsidRPr="002E29D4">
        <w:rPr>
          <w:rFonts w:ascii="Times New Roman" w:hAnsi="Times New Roman"/>
          <w:sz w:val="24"/>
          <w:szCs w:val="24"/>
        </w:rPr>
        <w:t xml:space="preserve"> wyjątków w ustawie przewidzianych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t>Zobowiązanie jest solidarne:</w:t>
      </w:r>
    </w:p>
    <w:p w:rsidR="000F54B4" w:rsidRPr="002E29D4" w:rsidRDefault="000F54B4" w:rsidP="003723E2">
      <w:pPr>
        <w:pStyle w:val="Akapitzlist"/>
        <w:numPr>
          <w:ilvl w:val="0"/>
          <w:numId w:val="3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wyłącznie gdy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przepisy szczególne tak stanowią</w:t>
      </w:r>
    </w:p>
    <w:p w:rsidR="000F54B4" w:rsidRPr="002E29D4" w:rsidRDefault="000F54B4" w:rsidP="003723E2">
      <w:pPr>
        <w:pStyle w:val="Akapitzlist"/>
        <w:numPr>
          <w:ilvl w:val="0"/>
          <w:numId w:val="3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jeżeli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wynika to z ustawy lub z czynności prawnej</w:t>
      </w:r>
    </w:p>
    <w:p w:rsidR="000F54B4" w:rsidRPr="002E29D4" w:rsidRDefault="000F54B4" w:rsidP="003723E2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jeżeli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wynika to z czynności prawnej lub z zasad współżycia społecznego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0F54B4" w:rsidRDefault="000F54B4" w:rsidP="002E29D4">
      <w:pPr>
        <w:spacing w:after="0" w:line="256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t>Małoletni, który nie ukończył lat trzynastu:</w:t>
      </w:r>
    </w:p>
    <w:p w:rsidR="000F54B4" w:rsidRPr="002E29D4" w:rsidRDefault="000F54B4" w:rsidP="003723E2">
      <w:pPr>
        <w:pStyle w:val="Akapitzlist"/>
        <w:numPr>
          <w:ilvl w:val="0"/>
          <w:numId w:val="3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ponosi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odpowiedzialność deliktową za wyrządzoną szkodę, gdy działał </w:t>
      </w:r>
      <w:r w:rsidRPr="002E29D4">
        <w:rPr>
          <w:rFonts w:ascii="Times New Roman" w:hAnsi="Times New Roman"/>
          <w:sz w:val="24"/>
          <w:szCs w:val="24"/>
        </w:rPr>
        <w:br/>
        <w:t>z dostatecznym rozeznaniem</w:t>
      </w:r>
    </w:p>
    <w:p w:rsidR="000F54B4" w:rsidRPr="002E29D4" w:rsidRDefault="000F54B4" w:rsidP="003723E2">
      <w:pPr>
        <w:pStyle w:val="Akapitzlist"/>
        <w:numPr>
          <w:ilvl w:val="0"/>
          <w:numId w:val="3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nie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ponosi odpowiedzialności deliktowej za wyrządzoną szkodę</w:t>
      </w:r>
    </w:p>
    <w:p w:rsidR="000F54B4" w:rsidRPr="002E29D4" w:rsidRDefault="000F54B4" w:rsidP="003723E2">
      <w:pPr>
        <w:pStyle w:val="Akapitzlist"/>
        <w:numPr>
          <w:ilvl w:val="0"/>
          <w:numId w:val="3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E29D4">
        <w:rPr>
          <w:rFonts w:ascii="Times New Roman" w:hAnsi="Times New Roman"/>
          <w:sz w:val="24"/>
          <w:szCs w:val="24"/>
        </w:rPr>
        <w:t>ponosi</w:t>
      </w:r>
      <w:proofErr w:type="gramEnd"/>
      <w:r w:rsidRPr="002E29D4">
        <w:rPr>
          <w:rFonts w:ascii="Times New Roman" w:hAnsi="Times New Roman"/>
          <w:sz w:val="24"/>
          <w:szCs w:val="24"/>
        </w:rPr>
        <w:t xml:space="preserve"> odpowiedzialność za wyrządzoną szkodę na zasadach ogólnych</w:t>
      </w:r>
    </w:p>
    <w:p w:rsidR="000F54B4" w:rsidRDefault="000F54B4" w:rsidP="002E29D4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p w:rsidR="000F54B4" w:rsidRPr="002E29D4" w:rsidRDefault="000F54B4" w:rsidP="003723E2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2E29D4">
        <w:rPr>
          <w:rFonts w:ascii="Times New Roman" w:hAnsi="Times New Roman"/>
          <w:sz w:val="24"/>
          <w:szCs w:val="24"/>
        </w:rPr>
        <w:t>Jeżeli świadczenie stało się niemożliwe:</w:t>
      </w:r>
    </w:p>
    <w:p w:rsidR="000F54B4" w:rsidRPr="00E1026D" w:rsidRDefault="000F54B4" w:rsidP="003723E2">
      <w:pPr>
        <w:pStyle w:val="Akapitzlist"/>
        <w:numPr>
          <w:ilvl w:val="0"/>
          <w:numId w:val="3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1026D">
        <w:rPr>
          <w:rFonts w:ascii="Times New Roman" w:hAnsi="Times New Roman"/>
          <w:sz w:val="24"/>
          <w:szCs w:val="24"/>
        </w:rPr>
        <w:t>zobowiązanie</w:t>
      </w:r>
      <w:proofErr w:type="gramEnd"/>
      <w:r w:rsidRPr="00E1026D">
        <w:rPr>
          <w:rFonts w:ascii="Times New Roman" w:hAnsi="Times New Roman"/>
          <w:sz w:val="24"/>
          <w:szCs w:val="24"/>
        </w:rPr>
        <w:t xml:space="preserve"> wygasa</w:t>
      </w:r>
    </w:p>
    <w:p w:rsidR="000F54B4" w:rsidRPr="00E1026D" w:rsidRDefault="000F54B4" w:rsidP="003723E2">
      <w:pPr>
        <w:pStyle w:val="Akapitzlist"/>
        <w:numPr>
          <w:ilvl w:val="0"/>
          <w:numId w:val="3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1026D">
        <w:rPr>
          <w:rFonts w:ascii="Times New Roman" w:hAnsi="Times New Roman"/>
          <w:sz w:val="24"/>
          <w:szCs w:val="24"/>
        </w:rPr>
        <w:t>zobowiązanie</w:t>
      </w:r>
      <w:proofErr w:type="gramEnd"/>
      <w:r w:rsidRPr="00E1026D">
        <w:rPr>
          <w:rFonts w:ascii="Times New Roman" w:hAnsi="Times New Roman"/>
          <w:sz w:val="24"/>
          <w:szCs w:val="24"/>
        </w:rPr>
        <w:t xml:space="preserve"> wygasa, gdy strony tak postanowiły</w:t>
      </w:r>
    </w:p>
    <w:p w:rsidR="003442CE" w:rsidRDefault="000F54B4" w:rsidP="003723E2">
      <w:pPr>
        <w:pStyle w:val="Akapitzlist"/>
        <w:numPr>
          <w:ilvl w:val="0"/>
          <w:numId w:val="37"/>
        </w:num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1026D">
        <w:rPr>
          <w:rFonts w:ascii="Times New Roman" w:hAnsi="Times New Roman"/>
          <w:sz w:val="24"/>
          <w:szCs w:val="24"/>
        </w:rPr>
        <w:t>zobowiązanie</w:t>
      </w:r>
      <w:proofErr w:type="gramEnd"/>
      <w:r w:rsidRPr="00E1026D">
        <w:rPr>
          <w:rFonts w:ascii="Times New Roman" w:hAnsi="Times New Roman"/>
          <w:sz w:val="24"/>
          <w:szCs w:val="24"/>
        </w:rPr>
        <w:t xml:space="preserve"> wygasa, gdy dłużnik nie ponosi odpowiedzialności za skutek niemożliwości świadczenia.</w:t>
      </w:r>
    </w:p>
    <w:p w:rsidR="00E1026D" w:rsidRPr="00E1026D" w:rsidRDefault="00E1026D" w:rsidP="00E102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442CE" w:rsidRPr="003442CE" w:rsidRDefault="004D6003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Sądem właściwym do rozpoznania spraw o odszkodowanie z tytułu szkody wyrządzonej przez wydanie prawomocnego orzeczenia niezgodnego z prawem, jest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4D6003" w:rsidP="003723E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sąd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rejonowy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3723E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sąd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okręgowy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3723E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sąd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apelacyjny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040" w:rsidRPr="003442CE" w:rsidRDefault="003850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4D6003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W sprawach cywilnych, zażalenie nie przysługuje na postanowienie sądu, którego przedmiotem jest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4D6003" w:rsidP="003723E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przekazanie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sprawy sądowi równorzędnemu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3723E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przekazanie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sprawy sądowi nadrzędnemu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3723E2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przekazanie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sprawy sądowi niższego rzędu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4D6003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 xml:space="preserve">W sprawach o odszkodowanie z tytułu szkody wyrządzonej przez wydanie prawomocnego orzeczenia niezgodnego z prawem, </w:t>
      </w:r>
      <w:proofErr w:type="gramStart"/>
      <w:r w:rsidRPr="00296AD1">
        <w:rPr>
          <w:rFonts w:ascii="Times New Roman" w:hAnsi="Times New Roman" w:cs="Times New Roman"/>
          <w:sz w:val="24"/>
          <w:szCs w:val="24"/>
        </w:rPr>
        <w:t>sędzia który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brał udział w wydaniu tego orzeczenia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4D6003" w:rsidP="003723E2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podlega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wyłączeniu tylko na wniosek strony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3723E2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podlega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wyłączeniu tylko na swoje żądanie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3723E2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jest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wyłączony z mocy samego prawa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4D6003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Zmiana podmiotowa po stronie pozwanej przed Sądem II instancji jest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4D6003" w:rsidP="003723E2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dopuszczalna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na wniosek powoda złożony do czasu rozpoczęcia rozprawy apelacyjnej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3723E2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niedopuszczalna</w:t>
      </w:r>
      <w:proofErr w:type="gramEnd"/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3723E2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dopuszczalna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na wniosek powoda i po wyrażeniu zgody przez pozwanego, aż do czasu zamknięcia rozprawy przed Sądem II instancji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4D6003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Na postanowienie Sądu I instancji, którego przedmiotem jest podjęcie zawieszonego postępowania zażalenie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4D6003" w:rsidP="003723E2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nie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przysługuje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3723E2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przysługuje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do sądu II instancji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3723E2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przysługuje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do innego składu sądu I instancji</w:t>
      </w:r>
      <w:r w:rsidR="003442CE" w:rsidRPr="00CC3A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A8275D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Sprzeciw od wyroku zaocznego składa się w terminie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A8275D" w:rsidP="003723E2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tygodnia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od doręczenia wyroku zaocznego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8275D" w:rsidP="003723E2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dwóch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tygodni od doręczenia wyroku zaocznego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A8275D" w:rsidRDefault="00A8275D" w:rsidP="003723E2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miesiąca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od doręczenia wyroku zaocznego</w:t>
      </w:r>
      <w:r w:rsidR="003442CE" w:rsidRPr="00CC3A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A8275D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Brak drogi sądowej powoduje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A8275D" w:rsidP="003723E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oddalenie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powództwa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8275D" w:rsidP="003723E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odrzucenie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pozwu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8275D" w:rsidP="003723E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zwrot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pozwu</w:t>
      </w:r>
      <w:r w:rsidR="003442CE" w:rsidRPr="00CC3A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040" w:rsidRPr="003442CE" w:rsidRDefault="003850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A8275D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Sąd umarza postępowanie zawieszone z powodu śmierci strony po upływie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A8275D" w:rsidP="003723E2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pięciu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lat od daty postanowienia o zawieszeniu postępowania z tej przyczyny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8275D" w:rsidP="003723E2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trzech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lat od daty postanowienia o zawieszeniu postępowania z tej przyczyny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8275D" w:rsidP="003723E2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dziesięciu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lat od daty postanowienia o zawieszeniu postępowania z tej przyczyny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A8275D" w:rsidP="003723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Skarga kasacyjna jest niedopuszczalna w sprawach o prawa majątkowe, w których wartość przedmiotu zaskarżenia jest niższa niż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1C6FE7" w:rsidRDefault="00A8275D" w:rsidP="003723E2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siedemdziesiąt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pięć tysięcy złotych</w:t>
      </w:r>
      <w:r w:rsidR="003442CE" w:rsidRPr="001C6FE7">
        <w:rPr>
          <w:rFonts w:ascii="Times New Roman" w:hAnsi="Times New Roman" w:cs="Times New Roman"/>
          <w:sz w:val="24"/>
          <w:szCs w:val="24"/>
        </w:rPr>
        <w:t>;</w:t>
      </w:r>
    </w:p>
    <w:p w:rsidR="003442CE" w:rsidRPr="001C6FE7" w:rsidRDefault="00A8275D" w:rsidP="003723E2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pięćdziesiąt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tysięcy złotych</w:t>
      </w:r>
      <w:r w:rsidR="003442CE" w:rsidRPr="001C6FE7">
        <w:rPr>
          <w:rFonts w:ascii="Times New Roman" w:hAnsi="Times New Roman" w:cs="Times New Roman"/>
          <w:sz w:val="24"/>
          <w:szCs w:val="24"/>
        </w:rPr>
        <w:t>;</w:t>
      </w:r>
    </w:p>
    <w:p w:rsidR="003442CE" w:rsidRPr="001C6FE7" w:rsidRDefault="00A8275D" w:rsidP="003723E2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 w:cs="Times New Roman"/>
          <w:sz w:val="24"/>
          <w:szCs w:val="24"/>
        </w:rPr>
        <w:t>sto</w:t>
      </w:r>
      <w:proofErr w:type="gramEnd"/>
      <w:r w:rsidRPr="00296AD1">
        <w:rPr>
          <w:rFonts w:ascii="Times New Roman" w:hAnsi="Times New Roman" w:cs="Times New Roman"/>
          <w:sz w:val="24"/>
          <w:szCs w:val="24"/>
        </w:rPr>
        <w:t xml:space="preserve"> tysięcy złotych</w:t>
      </w:r>
      <w:r w:rsidR="003442CE" w:rsidRPr="001C6FE7">
        <w:rPr>
          <w:rFonts w:ascii="Times New Roman" w:hAnsi="Times New Roman" w:cs="Times New Roman"/>
          <w:sz w:val="24"/>
          <w:szCs w:val="24"/>
        </w:rPr>
        <w:t>.</w:t>
      </w:r>
    </w:p>
    <w:p w:rsid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Pr="003442CE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4575" w:rsidRDefault="00444575" w:rsidP="004445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TEMAT PRACY Z ZAKRESU PRAWA CYWILNEGO</w:t>
      </w:r>
    </w:p>
    <w:p w:rsidR="00337CD1" w:rsidRDefault="00337CD1" w:rsidP="004445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Pr="004647D6" w:rsidRDefault="00A8275D" w:rsidP="00444575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A8275D">
        <w:rPr>
          <w:rFonts w:ascii="Times New Roman" w:hAnsi="Times New Roman" w:cs="Times New Roman"/>
          <w:b/>
          <w:sz w:val="28"/>
          <w:szCs w:val="24"/>
        </w:rPr>
        <w:t xml:space="preserve">Omów </w:t>
      </w:r>
      <w:r w:rsidR="00E1026D">
        <w:rPr>
          <w:rFonts w:ascii="Times New Roman" w:hAnsi="Times New Roman" w:cs="Times New Roman"/>
          <w:b/>
          <w:sz w:val="28"/>
          <w:szCs w:val="24"/>
        </w:rPr>
        <w:t>instytucję apelacji w procesie cywilnym</w:t>
      </w:r>
      <w:r w:rsidR="00F964A4" w:rsidRPr="00F964A4">
        <w:rPr>
          <w:rFonts w:ascii="Times New Roman" w:hAnsi="Times New Roman" w:cs="Times New Roman"/>
          <w:b/>
          <w:sz w:val="28"/>
          <w:szCs w:val="24"/>
        </w:rPr>
        <w:t>.</w:t>
      </w:r>
    </w:p>
    <w:p w:rsidR="005E31D4" w:rsidRDefault="005E31D4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4A4" w:rsidRDefault="00F964A4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Default="004647D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TEMAT PRACY Z ZAKRESU PRAWA KARNEGO</w:t>
      </w:r>
    </w:p>
    <w:p w:rsidR="00337CD1" w:rsidRDefault="00337CD1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Default="00A8275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75D">
        <w:rPr>
          <w:rFonts w:ascii="Times New Roman" w:hAnsi="Times New Roman" w:cs="Times New Roman"/>
          <w:b/>
          <w:sz w:val="28"/>
          <w:szCs w:val="28"/>
        </w:rPr>
        <w:t xml:space="preserve">Omów </w:t>
      </w:r>
      <w:r w:rsidR="00E1026D">
        <w:rPr>
          <w:rFonts w:ascii="Times New Roman" w:hAnsi="Times New Roman" w:cs="Times New Roman"/>
          <w:b/>
          <w:sz w:val="28"/>
          <w:szCs w:val="28"/>
        </w:rPr>
        <w:t xml:space="preserve">negatywne przesłanki procesowe, o których mowa w art. 17 k.p.k. i </w:t>
      </w:r>
      <w:bookmarkStart w:id="0" w:name="_GoBack"/>
      <w:bookmarkEnd w:id="0"/>
      <w:r w:rsidR="00E1026D">
        <w:rPr>
          <w:rFonts w:ascii="Times New Roman" w:hAnsi="Times New Roman" w:cs="Times New Roman"/>
          <w:b/>
          <w:sz w:val="28"/>
          <w:szCs w:val="28"/>
        </w:rPr>
        <w:t>wskaż, jakie wywołują skutki</w:t>
      </w:r>
      <w:r w:rsidRPr="00A8275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Pr="00337CD1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026D" w:rsidRPr="00337CD1" w:rsidSect="00CB75E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3E2" w:rsidRDefault="003723E2" w:rsidP="005B3A54">
      <w:pPr>
        <w:spacing w:after="0" w:line="240" w:lineRule="auto"/>
      </w:pPr>
      <w:r>
        <w:separator/>
      </w:r>
    </w:p>
  </w:endnote>
  <w:endnote w:type="continuationSeparator" w:id="0">
    <w:p w:rsidR="003723E2" w:rsidRDefault="003723E2" w:rsidP="005B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51954"/>
      <w:docPartObj>
        <w:docPartGallery w:val="Page Numbers (Bottom of Page)"/>
        <w:docPartUnique/>
      </w:docPartObj>
    </w:sdtPr>
    <w:sdtEndPr/>
    <w:sdtContent>
      <w:p w:rsidR="005B3A54" w:rsidRDefault="005B3A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26D">
          <w:rPr>
            <w:noProof/>
          </w:rPr>
          <w:t>7</w:t>
        </w:r>
        <w:r>
          <w:fldChar w:fldCharType="end"/>
        </w:r>
      </w:p>
    </w:sdtContent>
  </w:sdt>
  <w:p w:rsidR="005B3A54" w:rsidRDefault="005B3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3E2" w:rsidRDefault="003723E2" w:rsidP="005B3A54">
      <w:pPr>
        <w:spacing w:after="0" w:line="240" w:lineRule="auto"/>
      </w:pPr>
      <w:r>
        <w:separator/>
      </w:r>
    </w:p>
  </w:footnote>
  <w:footnote w:type="continuationSeparator" w:id="0">
    <w:p w:rsidR="003723E2" w:rsidRDefault="003723E2" w:rsidP="005B3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8AE"/>
    <w:multiLevelType w:val="hybridMultilevel"/>
    <w:tmpl w:val="76B67E74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CF52B6"/>
    <w:multiLevelType w:val="hybridMultilevel"/>
    <w:tmpl w:val="D10E9D4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3D1043"/>
    <w:multiLevelType w:val="hybridMultilevel"/>
    <w:tmpl w:val="23A034F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262852"/>
    <w:multiLevelType w:val="hybridMultilevel"/>
    <w:tmpl w:val="B07C3AD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B250FA"/>
    <w:multiLevelType w:val="hybridMultilevel"/>
    <w:tmpl w:val="B82608C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F65BC7"/>
    <w:multiLevelType w:val="hybridMultilevel"/>
    <w:tmpl w:val="5F70B4B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0A4BDE"/>
    <w:multiLevelType w:val="hybridMultilevel"/>
    <w:tmpl w:val="7FFEBDA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23C7202"/>
    <w:multiLevelType w:val="hybridMultilevel"/>
    <w:tmpl w:val="B2DAF42E"/>
    <w:lvl w:ilvl="0" w:tplc="3D38EC44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3E5DD6"/>
    <w:multiLevelType w:val="hybridMultilevel"/>
    <w:tmpl w:val="2B3851E4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3D6C7A"/>
    <w:multiLevelType w:val="hybridMultilevel"/>
    <w:tmpl w:val="9F6A446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3A2238"/>
    <w:multiLevelType w:val="hybridMultilevel"/>
    <w:tmpl w:val="E2FC65F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8E5A4A"/>
    <w:multiLevelType w:val="hybridMultilevel"/>
    <w:tmpl w:val="4A5AAB9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79714F"/>
    <w:multiLevelType w:val="hybridMultilevel"/>
    <w:tmpl w:val="8466C08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CA0C2D"/>
    <w:multiLevelType w:val="hybridMultilevel"/>
    <w:tmpl w:val="909E73F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93379D"/>
    <w:multiLevelType w:val="hybridMultilevel"/>
    <w:tmpl w:val="9824474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BB51BAA"/>
    <w:multiLevelType w:val="hybridMultilevel"/>
    <w:tmpl w:val="FE8E32E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FF52910"/>
    <w:multiLevelType w:val="hybridMultilevel"/>
    <w:tmpl w:val="F99C7D6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03A18D3"/>
    <w:multiLevelType w:val="hybridMultilevel"/>
    <w:tmpl w:val="3ED4C17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19330CF"/>
    <w:multiLevelType w:val="hybridMultilevel"/>
    <w:tmpl w:val="602AB08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2A5824"/>
    <w:multiLevelType w:val="hybridMultilevel"/>
    <w:tmpl w:val="626C34A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2566EB5"/>
    <w:multiLevelType w:val="hybridMultilevel"/>
    <w:tmpl w:val="D27C92A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041B84"/>
    <w:multiLevelType w:val="hybridMultilevel"/>
    <w:tmpl w:val="B834386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6814F5E"/>
    <w:multiLevelType w:val="hybridMultilevel"/>
    <w:tmpl w:val="FD484918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6F77FF6"/>
    <w:multiLevelType w:val="hybridMultilevel"/>
    <w:tmpl w:val="B3D8F0D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7FB09CB"/>
    <w:multiLevelType w:val="hybridMultilevel"/>
    <w:tmpl w:val="BD14418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82557DF"/>
    <w:multiLevelType w:val="hybridMultilevel"/>
    <w:tmpl w:val="A78EA06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9205E8B"/>
    <w:multiLevelType w:val="hybridMultilevel"/>
    <w:tmpl w:val="DBA84CA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9863132"/>
    <w:multiLevelType w:val="hybridMultilevel"/>
    <w:tmpl w:val="0EF66B8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CA27CD5"/>
    <w:multiLevelType w:val="hybridMultilevel"/>
    <w:tmpl w:val="EC5AF8B4"/>
    <w:lvl w:ilvl="0" w:tplc="9098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02E81"/>
    <w:multiLevelType w:val="hybridMultilevel"/>
    <w:tmpl w:val="83A02FC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43052AD"/>
    <w:multiLevelType w:val="hybridMultilevel"/>
    <w:tmpl w:val="EF52A57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66A3AB0"/>
    <w:multiLevelType w:val="hybridMultilevel"/>
    <w:tmpl w:val="82FCA61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A5F0A77"/>
    <w:multiLevelType w:val="hybridMultilevel"/>
    <w:tmpl w:val="6CD80A38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FBB1C40"/>
    <w:multiLevelType w:val="hybridMultilevel"/>
    <w:tmpl w:val="ECE6F6E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32F30A7"/>
    <w:multiLevelType w:val="hybridMultilevel"/>
    <w:tmpl w:val="73D65D5C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587050B"/>
    <w:multiLevelType w:val="hybridMultilevel"/>
    <w:tmpl w:val="70BA12E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454ABE"/>
    <w:multiLevelType w:val="hybridMultilevel"/>
    <w:tmpl w:val="506CCAF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9"/>
  </w:num>
  <w:num w:numId="2">
    <w:abstractNumId w:val="33"/>
  </w:num>
  <w:num w:numId="3">
    <w:abstractNumId w:val="8"/>
  </w:num>
  <w:num w:numId="4">
    <w:abstractNumId w:val="18"/>
  </w:num>
  <w:num w:numId="5">
    <w:abstractNumId w:val="5"/>
  </w:num>
  <w:num w:numId="6">
    <w:abstractNumId w:val="11"/>
  </w:num>
  <w:num w:numId="7">
    <w:abstractNumId w:val="34"/>
  </w:num>
  <w:num w:numId="8">
    <w:abstractNumId w:val="0"/>
  </w:num>
  <w:num w:numId="9">
    <w:abstractNumId w:val="10"/>
  </w:num>
  <w:num w:numId="10">
    <w:abstractNumId w:val="28"/>
  </w:num>
  <w:num w:numId="11">
    <w:abstractNumId w:val="7"/>
  </w:num>
  <w:num w:numId="12">
    <w:abstractNumId w:val="12"/>
  </w:num>
  <w:num w:numId="13">
    <w:abstractNumId w:val="22"/>
  </w:num>
  <w:num w:numId="14">
    <w:abstractNumId w:val="32"/>
  </w:num>
  <w:num w:numId="15">
    <w:abstractNumId w:val="21"/>
  </w:num>
  <w:num w:numId="16">
    <w:abstractNumId w:val="30"/>
  </w:num>
  <w:num w:numId="17">
    <w:abstractNumId w:val="17"/>
  </w:num>
  <w:num w:numId="18">
    <w:abstractNumId w:val="6"/>
  </w:num>
  <w:num w:numId="19">
    <w:abstractNumId w:val="14"/>
  </w:num>
  <w:num w:numId="20">
    <w:abstractNumId w:val="1"/>
  </w:num>
  <w:num w:numId="21">
    <w:abstractNumId w:val="20"/>
  </w:num>
  <w:num w:numId="22">
    <w:abstractNumId w:val="36"/>
  </w:num>
  <w:num w:numId="23">
    <w:abstractNumId w:val="24"/>
  </w:num>
  <w:num w:numId="24">
    <w:abstractNumId w:val="15"/>
  </w:num>
  <w:num w:numId="25">
    <w:abstractNumId w:val="16"/>
  </w:num>
  <w:num w:numId="26">
    <w:abstractNumId w:val="2"/>
  </w:num>
  <w:num w:numId="27">
    <w:abstractNumId w:val="9"/>
  </w:num>
  <w:num w:numId="28">
    <w:abstractNumId w:val="26"/>
  </w:num>
  <w:num w:numId="29">
    <w:abstractNumId w:val="23"/>
  </w:num>
  <w:num w:numId="30">
    <w:abstractNumId w:val="19"/>
  </w:num>
  <w:num w:numId="31">
    <w:abstractNumId w:val="31"/>
  </w:num>
  <w:num w:numId="32">
    <w:abstractNumId w:val="13"/>
  </w:num>
  <w:num w:numId="33">
    <w:abstractNumId w:val="25"/>
  </w:num>
  <w:num w:numId="34">
    <w:abstractNumId w:val="4"/>
  </w:num>
  <w:num w:numId="35">
    <w:abstractNumId w:val="3"/>
  </w:num>
  <w:num w:numId="36">
    <w:abstractNumId w:val="35"/>
  </w:num>
  <w:num w:numId="37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28"/>
    <w:rsid w:val="000B0C4B"/>
    <w:rsid w:val="000F54B4"/>
    <w:rsid w:val="00120574"/>
    <w:rsid w:val="001252C0"/>
    <w:rsid w:val="00170A2D"/>
    <w:rsid w:val="00192D3F"/>
    <w:rsid w:val="001B32CF"/>
    <w:rsid w:val="001C6FE7"/>
    <w:rsid w:val="00200EFA"/>
    <w:rsid w:val="002048D4"/>
    <w:rsid w:val="002101DE"/>
    <w:rsid w:val="002673D6"/>
    <w:rsid w:val="002675B3"/>
    <w:rsid w:val="002B1026"/>
    <w:rsid w:val="002C005B"/>
    <w:rsid w:val="002C0E9A"/>
    <w:rsid w:val="002E29D4"/>
    <w:rsid w:val="00337CD1"/>
    <w:rsid w:val="00342039"/>
    <w:rsid w:val="003442CE"/>
    <w:rsid w:val="003723E2"/>
    <w:rsid w:val="00385040"/>
    <w:rsid w:val="0038726D"/>
    <w:rsid w:val="003911B0"/>
    <w:rsid w:val="00391B60"/>
    <w:rsid w:val="004433D8"/>
    <w:rsid w:val="00444575"/>
    <w:rsid w:val="004647D6"/>
    <w:rsid w:val="00472A6D"/>
    <w:rsid w:val="004D6003"/>
    <w:rsid w:val="00526C01"/>
    <w:rsid w:val="00540F1C"/>
    <w:rsid w:val="005B2228"/>
    <w:rsid w:val="005B3A54"/>
    <w:rsid w:val="005D7190"/>
    <w:rsid w:val="005E31D4"/>
    <w:rsid w:val="005F3EA2"/>
    <w:rsid w:val="006332A5"/>
    <w:rsid w:val="0069347F"/>
    <w:rsid w:val="006F173C"/>
    <w:rsid w:val="00725BF2"/>
    <w:rsid w:val="00782808"/>
    <w:rsid w:val="007A09B9"/>
    <w:rsid w:val="007B2D95"/>
    <w:rsid w:val="007D6109"/>
    <w:rsid w:val="00803C06"/>
    <w:rsid w:val="0082658B"/>
    <w:rsid w:val="00834C9F"/>
    <w:rsid w:val="00843BBF"/>
    <w:rsid w:val="008B6600"/>
    <w:rsid w:val="008F5D94"/>
    <w:rsid w:val="009561CF"/>
    <w:rsid w:val="009A26FF"/>
    <w:rsid w:val="009C0276"/>
    <w:rsid w:val="00A00128"/>
    <w:rsid w:val="00A56913"/>
    <w:rsid w:val="00A8275D"/>
    <w:rsid w:val="00A8564E"/>
    <w:rsid w:val="00AC67C6"/>
    <w:rsid w:val="00B007F3"/>
    <w:rsid w:val="00B13359"/>
    <w:rsid w:val="00B22509"/>
    <w:rsid w:val="00B24393"/>
    <w:rsid w:val="00B26019"/>
    <w:rsid w:val="00B52243"/>
    <w:rsid w:val="00B73DA3"/>
    <w:rsid w:val="00B9728D"/>
    <w:rsid w:val="00BA724F"/>
    <w:rsid w:val="00C16D72"/>
    <w:rsid w:val="00C50A43"/>
    <w:rsid w:val="00C52211"/>
    <w:rsid w:val="00C7201B"/>
    <w:rsid w:val="00C86CB0"/>
    <w:rsid w:val="00CB75ED"/>
    <w:rsid w:val="00CC3ABB"/>
    <w:rsid w:val="00D54A11"/>
    <w:rsid w:val="00D554FE"/>
    <w:rsid w:val="00D77D78"/>
    <w:rsid w:val="00DB72D3"/>
    <w:rsid w:val="00E1026D"/>
    <w:rsid w:val="00E43AD3"/>
    <w:rsid w:val="00E71287"/>
    <w:rsid w:val="00ED0661"/>
    <w:rsid w:val="00F57E58"/>
    <w:rsid w:val="00F964A4"/>
    <w:rsid w:val="00F97ADA"/>
    <w:rsid w:val="00FA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9494"/>
  <w15:chartTrackingRefBased/>
  <w15:docId w15:val="{9AB631AE-E6C4-4399-94A5-E047F889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C9F"/>
  </w:style>
  <w:style w:type="paragraph" w:styleId="Nagwek1">
    <w:name w:val="heading 1"/>
    <w:basedOn w:val="Normalny"/>
    <w:next w:val="Normalny"/>
    <w:link w:val="Nagwek1Znak"/>
    <w:uiPriority w:val="9"/>
    <w:qFormat/>
    <w:rsid w:val="00834C9F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C9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C9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C9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C9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C9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C9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C9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C9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5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73D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A54"/>
  </w:style>
  <w:style w:type="paragraph" w:styleId="Stopka">
    <w:name w:val="footer"/>
    <w:basedOn w:val="Normalny"/>
    <w:link w:val="Stopka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A54"/>
  </w:style>
  <w:style w:type="character" w:customStyle="1" w:styleId="Nagwek1Znak">
    <w:name w:val="Nagłówek 1 Znak"/>
    <w:basedOn w:val="Domylnaczcionkaakapitu"/>
    <w:link w:val="Nagwek1"/>
    <w:uiPriority w:val="9"/>
    <w:rsid w:val="00834C9F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C9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C9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C9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C9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C9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C9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C9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C9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34C9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834C9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834C9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C9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834C9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834C9F"/>
    <w:rPr>
      <w:b/>
      <w:bCs/>
    </w:rPr>
  </w:style>
  <w:style w:type="character" w:styleId="Uwydatnienie">
    <w:name w:val="Emphasis"/>
    <w:basedOn w:val="Domylnaczcionkaakapitu"/>
    <w:uiPriority w:val="20"/>
    <w:qFormat/>
    <w:rsid w:val="00834C9F"/>
    <w:rPr>
      <w:i/>
      <w:iCs/>
    </w:rPr>
  </w:style>
  <w:style w:type="paragraph" w:styleId="Bezodstpw">
    <w:name w:val="No Spacing"/>
    <w:uiPriority w:val="1"/>
    <w:qFormat/>
    <w:rsid w:val="00834C9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34C9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34C9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C9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C9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834C9F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834C9F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34C9F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834C9F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834C9F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34C9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4C29A-EFD2-4A70-A077-E2AC68E7F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1135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Apelacyjny w Łodzi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Depczyński Krzysztof</dc:creator>
  <cp:keywords/>
  <dc:description/>
  <cp:lastModifiedBy>SSA Krzysztof Depczyński</cp:lastModifiedBy>
  <cp:revision>26</cp:revision>
  <cp:lastPrinted>2021-05-18T08:59:00Z</cp:lastPrinted>
  <dcterms:created xsi:type="dcterms:W3CDTF">2021-05-17T09:28:00Z</dcterms:created>
  <dcterms:modified xsi:type="dcterms:W3CDTF">2024-11-24T17:14:00Z</dcterms:modified>
</cp:coreProperties>
</file>