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5DA1" w14:textId="77777777" w:rsidR="00036006" w:rsidRPr="00036006" w:rsidRDefault="00036006" w:rsidP="00036006">
      <w:pPr>
        <w:rPr>
          <w:rFonts w:ascii="Times New Roman" w:hAnsi="Times New Roman" w:cs="Times New Roman"/>
          <w:b/>
        </w:rPr>
      </w:pPr>
      <w:r w:rsidRPr="00036006">
        <w:rPr>
          <w:rFonts w:ascii="Times New Roman" w:hAnsi="Times New Roman" w:cs="Times New Roman"/>
          <w:b/>
        </w:rPr>
        <w:t xml:space="preserve">Pytania z prawa i postepowania karnego </w:t>
      </w:r>
    </w:p>
    <w:p w14:paraId="1B1BB95D" w14:textId="77777777" w:rsidR="00036006" w:rsidRDefault="00036006" w:rsidP="00036006">
      <w:pPr>
        <w:rPr>
          <w:rFonts w:ascii="Times New Roman" w:hAnsi="Times New Roman" w:cs="Times New Roman"/>
        </w:rPr>
      </w:pPr>
    </w:p>
    <w:p w14:paraId="11A2F06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1. Sąd wymierza karę za usiłowanie:</w:t>
      </w:r>
    </w:p>
    <w:p w14:paraId="32ECEA5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a).</w:t>
      </w:r>
      <w:r w:rsidRPr="00036006">
        <w:rPr>
          <w:rFonts w:ascii="Times New Roman" w:hAnsi="Times New Roman" w:cs="Times New Roman"/>
        </w:rPr>
        <w:t xml:space="preserve"> w granicach zagrożenia przewidzianego dla danego przestępstwa</w:t>
      </w:r>
    </w:p>
    <w:p w14:paraId="45E8014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b). w wysokości do połowy górnej granicy zagrożenia przewidzianego dla danego przestępstwa</w:t>
      </w:r>
    </w:p>
    <w:p w14:paraId="7085AE3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c). tylko wtedy, gdy ustawa tak stanowi</w:t>
      </w:r>
    </w:p>
    <w:p w14:paraId="5378B73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2. Jeżeli ustawa nie stanowi inaczej, kara ograniczenia wolności trwa:</w:t>
      </w:r>
    </w:p>
    <w:p w14:paraId="591986F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 najkrócej miesiąc</w:t>
      </w:r>
    </w:p>
    <w:p w14:paraId="435C286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b). najdłużej 3 lata</w:t>
      </w:r>
    </w:p>
    <w:p w14:paraId="4186830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c). najkrócej sześć miesięcy</w:t>
      </w:r>
    </w:p>
    <w:p w14:paraId="605DA9A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3. W wypadku zawieszenia wykonania kary wobec sprawcy młodocianego oraz sprawcy, który popełnił przestępstwo z użyciem przemocy na szkodę osoby wspólnie zamieszkującej, okres próby wynosi:</w:t>
      </w:r>
    </w:p>
    <w:p w14:paraId="0442BDD9" w14:textId="77777777" w:rsid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36006">
        <w:rPr>
          <w:rFonts w:ascii="Times New Roman" w:hAnsi="Times New Roman" w:cs="Times New Roman"/>
        </w:rPr>
        <w:t xml:space="preserve">) od 3 do 5 lat </w:t>
      </w:r>
    </w:p>
    <w:p w14:paraId="0F79CE3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b) od 2 do 5 lat </w:t>
      </w:r>
    </w:p>
    <w:p w14:paraId="4EE8665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od 2 do 3 lat</w:t>
      </w:r>
    </w:p>
    <w:p w14:paraId="44AB4CC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4. Nawiązka jest:</w:t>
      </w:r>
    </w:p>
    <w:p w14:paraId="7AAD766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środkiem zabezpieczającym</w:t>
      </w:r>
    </w:p>
    <w:p w14:paraId="6BA58219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środkiem karnym </w:t>
      </w:r>
    </w:p>
    <w:p w14:paraId="477CEA0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        </w:t>
      </w:r>
      <w:r w:rsidRPr="00036006">
        <w:rPr>
          <w:rFonts w:ascii="Times New Roman" w:hAnsi="Times New Roman" w:cs="Times New Roman"/>
        </w:rPr>
        <w:t xml:space="preserve"> środkiem kompensacyjnym</w:t>
      </w:r>
    </w:p>
    <w:p w14:paraId="1E29D1A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5. Sąd może warunkowo zawiesić wykonanie kary pozbawienia wolności orzeczonej w wymiarze:</w:t>
      </w:r>
    </w:p>
    <w:p w14:paraId="455CAA5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 nieprzekraczającym 3 lat</w:t>
      </w:r>
    </w:p>
    <w:p w14:paraId="0F00A28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036006">
        <w:rPr>
          <w:rFonts w:ascii="Times New Roman" w:hAnsi="Times New Roman" w:cs="Times New Roman"/>
        </w:rPr>
        <w:t>) nieprzekraczającym 5 lat</w:t>
      </w:r>
    </w:p>
    <w:p w14:paraId="2668E33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nieprzekraczającym roku</w:t>
      </w:r>
    </w:p>
    <w:p w14:paraId="20E1E00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6. Środkiem zabezpieczającym nie jest:</w:t>
      </w:r>
    </w:p>
    <w:p w14:paraId="145CD3C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terapia</w:t>
      </w:r>
    </w:p>
    <w:p w14:paraId="48351B3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terapia uzależnień</w:t>
      </w:r>
    </w:p>
    <w:p w14:paraId="3862B180" w14:textId="77777777" w:rsid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03600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        </w:t>
      </w:r>
      <w:r w:rsidRPr="00036006">
        <w:rPr>
          <w:rFonts w:ascii="Times New Roman" w:hAnsi="Times New Roman" w:cs="Times New Roman"/>
        </w:rPr>
        <w:t xml:space="preserve">zakaz wstępu na imprezę masową </w:t>
      </w:r>
    </w:p>
    <w:p w14:paraId="3D405A23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7. Młodocianym jest sprawca, który</w:t>
      </w:r>
    </w:p>
    <w:p w14:paraId="68CEB40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w chwili popełnienia czynu zabronionego nie ukończył 18 lat i w czasie orzekania w pierwszej instancji 21 lat.</w:t>
      </w:r>
    </w:p>
    <w:p w14:paraId="5CDC422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w chwili popełnienia czynu zabronionego nie ukończył 17 lat i w czasie orzekania w pierwszej instancji 24 lat.</w:t>
      </w:r>
    </w:p>
    <w:p w14:paraId="08E3EB4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 w:rsidRPr="00036006">
        <w:rPr>
          <w:rFonts w:ascii="Times New Roman" w:hAnsi="Times New Roman" w:cs="Times New Roman"/>
        </w:rPr>
        <w:t>) w chwili popełnienia czynu zabronionego nie ukończył 21 lat i w czasie orzekania w pierwszej instancji 24 lat.</w:t>
      </w:r>
    </w:p>
    <w:p w14:paraId="2AC5D35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8. Sprostowanie orzeczenia lub jego uzasadnienia następuje:</w:t>
      </w:r>
    </w:p>
    <w:p w14:paraId="02499490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a) zawsze w drodze zarządzenia </w:t>
      </w:r>
    </w:p>
    <w:p w14:paraId="5BD517A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036006">
        <w:rPr>
          <w:rFonts w:ascii="Times New Roman" w:hAnsi="Times New Roman" w:cs="Times New Roman"/>
        </w:rPr>
        <w:t>w drodze postanowienia, a sprostowanie zarządzenia w drodze zarządzenia.</w:t>
      </w:r>
    </w:p>
    <w:p w14:paraId="18F841A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w drodze zarządzenia, chyba że ustawa stanowi inaczej</w:t>
      </w:r>
    </w:p>
    <w:p w14:paraId="06FA623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9. W razie nieuzupełnienia braku formalnego pisma w terminie, pismo</w:t>
      </w:r>
    </w:p>
    <w:p w14:paraId="4E963EE1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zwraca się wnioskodawcy</w:t>
      </w:r>
    </w:p>
    <w:p w14:paraId="74F71D58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pozostawia się bez rozpoznania </w:t>
      </w:r>
    </w:p>
    <w:p w14:paraId="472DB07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        </w:t>
      </w:r>
      <w:r w:rsidRPr="00036006">
        <w:rPr>
          <w:rFonts w:ascii="Times New Roman" w:hAnsi="Times New Roman" w:cs="Times New Roman"/>
        </w:rPr>
        <w:t>uznaje się za bezskuteczne</w:t>
      </w:r>
    </w:p>
    <w:p w14:paraId="3ED82DB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10. Poręczenie majątkowe w postaci pieniędzy, papierów wartościowych, zastawu lub hipoteki może złożyć:</w:t>
      </w:r>
    </w:p>
    <w:p w14:paraId="065F50FA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a) tylko oskarżony </w:t>
      </w:r>
    </w:p>
    <w:p w14:paraId="11B24BD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  <w:r w:rsidRPr="00036006">
        <w:rPr>
          <w:rFonts w:ascii="Times New Roman" w:hAnsi="Times New Roman" w:cs="Times New Roman"/>
        </w:rPr>
        <w:t xml:space="preserve"> oskarżony albo inna osoba</w:t>
      </w:r>
    </w:p>
    <w:p w14:paraId="0013E90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prokurator</w:t>
      </w:r>
    </w:p>
    <w:p w14:paraId="16DF38F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11. Pokrzywdzony może wziąć udział w rozprawie, jeżeli się stawi, i pozostać na sali:</w:t>
      </w:r>
    </w:p>
    <w:p w14:paraId="0C990E8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3600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po złożeniu wyjaśnień przez oskarżonego</w:t>
      </w:r>
    </w:p>
    <w:p w14:paraId="66CF64B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tylko jeżeli nie jest jednocześnie świadkiem</w:t>
      </w:r>
    </w:p>
    <w:p w14:paraId="3D58C5E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choćby miał składać zeznania jako świadek</w:t>
      </w:r>
    </w:p>
    <w:p w14:paraId="11AD005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12. Wniosek o dobrowolne poddanie się karze oskarżony może złożyć do chwili zakończenia pierwszego przesłuchania wszystkich oskarżonych na rozprawie głównej jeżeli:</w:t>
      </w:r>
    </w:p>
    <w:p w14:paraId="34F3DAA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przestępstwo zagrożone karą nieprzekraczającą 5 lat pozbawienia wolności</w:t>
      </w:r>
    </w:p>
    <w:p w14:paraId="0A175372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przestępstwo zagrożone karą nieprzekraczającą 15 lat pozbawienia wolności </w:t>
      </w:r>
    </w:p>
    <w:p w14:paraId="3BE8E0A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przestępstwo zagrożone karą nieprzekraczającą 8 lat pozbawienia wolności</w:t>
      </w:r>
    </w:p>
    <w:p w14:paraId="700049C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13. Każdorazowa przerwa w rozprawie w sprawie o przestępstwo może trwać nie dłużej:</w:t>
      </w:r>
    </w:p>
    <w:p w14:paraId="561A431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niż 21</w:t>
      </w:r>
    </w:p>
    <w:p w14:paraId="488C720B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niż 28 dni </w:t>
      </w:r>
    </w:p>
    <w:p w14:paraId="4EFFDBA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niż 42 dni</w:t>
      </w:r>
    </w:p>
    <w:p w14:paraId="489B40D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14. Wydanie wyroku nakazowego jest niedopuszczalne:</w:t>
      </w:r>
    </w:p>
    <w:p w14:paraId="0713F691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a) w sprawie oskarżanego niewładającego językiem polskim </w:t>
      </w:r>
    </w:p>
    <w:p w14:paraId="23E6C67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)</w:t>
      </w:r>
      <w:r w:rsidRPr="00036006">
        <w:rPr>
          <w:rFonts w:ascii="Times New Roman" w:hAnsi="Times New Roman" w:cs="Times New Roman"/>
        </w:rPr>
        <w:t xml:space="preserve"> w sprawie z oskarżenia prywatnego</w:t>
      </w:r>
    </w:p>
    <w:p w14:paraId="67584FA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w sprawie o przestępstwo zagrożone karą pozbawienia wolności</w:t>
      </w:r>
    </w:p>
    <w:p w14:paraId="41F532C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15. Odpis wyroku nakazowego doręcza się:</w:t>
      </w:r>
    </w:p>
    <w:p w14:paraId="76AAE0F3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lastRenderedPageBreak/>
        <w:t xml:space="preserve">a) tylko oskarżonemu i prokuratorowi </w:t>
      </w:r>
    </w:p>
    <w:p w14:paraId="1484BB7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036006">
        <w:rPr>
          <w:rFonts w:ascii="Times New Roman" w:hAnsi="Times New Roman" w:cs="Times New Roman"/>
        </w:rPr>
        <w:t>oskarżycielowi, pokrzywdzonemu, oskarżonemu i jego obrońcy oraz prokuratorowi</w:t>
      </w:r>
    </w:p>
    <w:p w14:paraId="4319BC4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 tylko pokrzywdzonemu, jeżeli wystąpił z wnioskiem o wstąpienie w prawa oskarżyciela posiłkowego</w:t>
      </w:r>
    </w:p>
    <w:p w14:paraId="4D597C30" w14:textId="77777777" w:rsidR="00036006" w:rsidRPr="00036006" w:rsidRDefault="00036006" w:rsidP="00036006">
      <w:pPr>
        <w:rPr>
          <w:rFonts w:ascii="Times New Roman" w:hAnsi="Times New Roman" w:cs="Times New Roman"/>
          <w:b/>
        </w:rPr>
      </w:pPr>
      <w:r w:rsidRPr="00036006">
        <w:rPr>
          <w:rFonts w:ascii="Times New Roman" w:hAnsi="Times New Roman" w:cs="Times New Roman"/>
        </w:rPr>
        <w:t xml:space="preserve"> </w:t>
      </w:r>
    </w:p>
    <w:p w14:paraId="7CFE0956" w14:textId="77777777" w:rsidR="00036006" w:rsidRPr="00036006" w:rsidRDefault="00036006" w:rsidP="00036006">
      <w:pPr>
        <w:rPr>
          <w:rFonts w:ascii="Times New Roman" w:hAnsi="Times New Roman" w:cs="Times New Roman"/>
          <w:b/>
        </w:rPr>
      </w:pPr>
      <w:r w:rsidRPr="00036006">
        <w:rPr>
          <w:rFonts w:ascii="Times New Roman" w:hAnsi="Times New Roman" w:cs="Times New Roman"/>
          <w:b/>
        </w:rPr>
        <w:t xml:space="preserve"> Pytania z prawa i postepowania cywilnego </w:t>
      </w:r>
    </w:p>
    <w:p w14:paraId="38B9288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1.</w:t>
      </w:r>
      <w:r w:rsidRPr="00036006">
        <w:rPr>
          <w:rFonts w:ascii="Times New Roman" w:hAnsi="Times New Roman" w:cs="Times New Roman"/>
        </w:rPr>
        <w:tab/>
        <w:t>W czasie prowadzonej przez komornika licytacji nieruchomości w budynku Sądu dłużnik złożył pisemny wniosek o wyłączenie sędziego nadzorującego przebieg licytacji zarzucając mu stronniczość. Czy w tej sytuacji licytacja :</w:t>
      </w:r>
    </w:p>
    <w:p w14:paraId="32544EF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musi zostać odroczona i rozpoznany musi być wniosek,</w:t>
      </w:r>
    </w:p>
    <w:p w14:paraId="6765E24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może zostać dokończona pod nadzorem obecnego sędziego,</w:t>
      </w:r>
    </w:p>
    <w:p w14:paraId="4AA6660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należy wyznaczyć kolejnego sędziego do nadzoru odbywającej się licytacji.</w:t>
      </w:r>
    </w:p>
    <w:p w14:paraId="6CA5092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2.</w:t>
      </w:r>
      <w:r w:rsidRPr="00036006">
        <w:rPr>
          <w:rFonts w:ascii="Times New Roman" w:hAnsi="Times New Roman" w:cs="Times New Roman"/>
        </w:rPr>
        <w:tab/>
        <w:t>W 2016r. zmarł Wojciech Nowak. W postanowieniu wydanym w 2017 roku Sąd Rejonowy w Giżycku stwierdził, że spadek po nim nabyła żona oraz troje dzieci. W 2023r. spadkobiercy dowiedzieli się, że w chwili śmierci spadkodawca posiadał udziały w gospodarstwie rolnym położonym pod Poznaniem. Żona spadkodawcy wystąpiła do Sądu Rejonowego w Giżycku o uzupełnienie postanowienia poprzez wskazanie kto i w jakiej części dziedziczy gospodarstwo rolne. Czy Sąd do którego złożono wniosek:</w:t>
      </w:r>
    </w:p>
    <w:p w14:paraId="125C617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powinien uzupełnić postanowienie poprzez wskazanie kto i w jakiej części dziedziczy gospodarstwo rolne,</w:t>
      </w:r>
    </w:p>
    <w:p w14:paraId="7D135B9B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powinien oddalić wniosek, </w:t>
      </w:r>
    </w:p>
    <w:p w14:paraId="6AAE398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powinien przekazać wniosek do rozpoznania Sądowi Rejonowemu w</w:t>
      </w:r>
      <w:r>
        <w:rPr>
          <w:rFonts w:ascii="Times New Roman" w:hAnsi="Times New Roman" w:cs="Times New Roman"/>
        </w:rPr>
        <w:t xml:space="preserve"> </w:t>
      </w:r>
      <w:r w:rsidRPr="00036006">
        <w:rPr>
          <w:rFonts w:ascii="Times New Roman" w:hAnsi="Times New Roman" w:cs="Times New Roman"/>
        </w:rPr>
        <w:t>Poznaniu.</w:t>
      </w:r>
    </w:p>
    <w:p w14:paraId="38E2B3F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3.</w:t>
      </w:r>
      <w:r w:rsidRPr="00036006">
        <w:rPr>
          <w:rFonts w:ascii="Times New Roman" w:hAnsi="Times New Roman" w:cs="Times New Roman"/>
        </w:rPr>
        <w:tab/>
        <w:t>Sąd umarza postępowanie zawieszone z powodu śmierci strony po upływie:</w:t>
      </w:r>
    </w:p>
    <w:p w14:paraId="6C1EA0C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roku od daty postanowienia o zawieszeniu postępowania z tej przyczyny</w:t>
      </w:r>
    </w:p>
    <w:p w14:paraId="6E0A1BC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trzech lat od daty postanowienia o zawieszeniu postępowania z tej przyczyny</w:t>
      </w:r>
    </w:p>
    <w:p w14:paraId="14D7768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0360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pięciu lat od daty postanowienia o zawieszeniu postępowania z tej przyczyny</w:t>
      </w:r>
    </w:p>
    <w:p w14:paraId="28EB1AE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4. W przypadku zarejestrowania dwóch aktów poświadczenia dziedziczenia w odniesieniu do tego samego spadku i złożenia wniosku o uchylenie ostatniego z aktów poświadczenie dziedziczenia Sąd spadku</w:t>
      </w:r>
    </w:p>
    <w:p w14:paraId="5E7394B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uchyla ostatni z aktów poświadczenia dziedziczenia</w:t>
      </w:r>
    </w:p>
    <w:p w14:paraId="131CFBF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uchyla ten z aktów poświadczenie dziedziczenia, który zawiera błędne wskazanie spadkobierców i pozostawia w mocy akt z prawidłowymi danymi</w:t>
      </w:r>
    </w:p>
    <w:p w14:paraId="59F9D64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uchyla wszystkie akty poświadczenia dziedziczenia i wydaje z urzędu postanowienie o stwierdzeniu nabycia spadku.</w:t>
      </w:r>
    </w:p>
    <w:p w14:paraId="609EC63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5. Nie może być świadkiem przy sporządzaniu testamentu:</w:t>
      </w:r>
    </w:p>
    <w:p w14:paraId="4628584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znajmy</w:t>
      </w:r>
    </w:p>
    <w:p w14:paraId="14CF32CD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skazany prawomocnym wyrokiem sądowym za przestępstwa przeciw dokumentom </w:t>
      </w:r>
    </w:p>
    <w:p w14:paraId="6BDC8CE1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skazany prawomocnym wyro</w:t>
      </w:r>
      <w:r>
        <w:rPr>
          <w:rFonts w:ascii="Times New Roman" w:hAnsi="Times New Roman" w:cs="Times New Roman"/>
        </w:rPr>
        <w:t>kiem</w:t>
      </w:r>
      <w:r w:rsidRPr="00036006">
        <w:rPr>
          <w:rFonts w:ascii="Times New Roman" w:hAnsi="Times New Roman" w:cs="Times New Roman"/>
        </w:rPr>
        <w:t xml:space="preserve"> sądowym za fałszywe zeznania</w:t>
      </w:r>
    </w:p>
    <w:p w14:paraId="07158C9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sąsiad</w:t>
      </w:r>
    </w:p>
    <w:p w14:paraId="60BFA2F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6. Samoistny posiadacz nieruchomości nabywa własność, jeżeli posiada nieprzerwanie nieruchomość, której posiadanie uzyskał w dobrej wierze</w:t>
      </w:r>
    </w:p>
    <w:p w14:paraId="32DBF8AF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 xml:space="preserve">przez 20 lat </w:t>
      </w:r>
    </w:p>
    <w:p w14:paraId="3BE01D5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przez 10 lat</w:t>
      </w:r>
    </w:p>
    <w:p w14:paraId="1FD1EB7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przez 15 lat</w:t>
      </w:r>
    </w:p>
    <w:p w14:paraId="534421A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przez 30 lat</w:t>
      </w:r>
    </w:p>
    <w:p w14:paraId="77CBFE8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7. Po wydaniu wyroku przez sąd pierwszej instancji, a przed jego uprawomocnieniem się i jego zaskarżeniem:</w:t>
      </w:r>
    </w:p>
    <w:p w14:paraId="67F13CD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cofnięcie pozwu nie jest dopuszczalne</w:t>
      </w:r>
    </w:p>
    <w:p w14:paraId="2CB8DBCE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cofnięcie pozwu jest skuteczne zawsze </w:t>
      </w:r>
    </w:p>
    <w:p w14:paraId="4AD5286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cofnięcie pozwu jest skuteczne tylko w połączeniu ze zrzeczeniem się roszczenia lub za zgodą pozwanego</w:t>
      </w:r>
    </w:p>
    <w:p w14:paraId="6E7CDF7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cofnięcie pozwu powoduje nieważność postępowania</w:t>
      </w:r>
    </w:p>
    <w:p w14:paraId="4795104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8. Oświadczenie o uchyleniu się od skutków prawnych nie złożenia oświadczenia o odrzucenia spadku w terminie można złożyć:</w:t>
      </w:r>
    </w:p>
    <w:p w14:paraId="3C9F256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ą) 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tylko przed sądem</w:t>
      </w:r>
    </w:p>
    <w:p w14:paraId="406B9D11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tylko przed notariuszem</w:t>
      </w:r>
    </w:p>
    <w:p w14:paraId="7B75602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według wyboru przed sądem lub notariuszem</w:t>
      </w:r>
    </w:p>
    <w:p w14:paraId="60F797B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przed komornikiem dokonującym spisu inwentarza</w:t>
      </w:r>
    </w:p>
    <w:p w14:paraId="1584C4AB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9. W postępowaniu cywi</w:t>
      </w:r>
      <w:r>
        <w:rPr>
          <w:rFonts w:ascii="Times New Roman" w:hAnsi="Times New Roman" w:cs="Times New Roman"/>
        </w:rPr>
        <w:t xml:space="preserve">lnym nieprocesowym występują: </w:t>
      </w:r>
    </w:p>
    <w:p w14:paraId="21797E8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03600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Wnioskodawca i uczestnik,</w:t>
      </w:r>
    </w:p>
    <w:p w14:paraId="4CF7F9E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Powód i pozwany,</w:t>
      </w:r>
    </w:p>
    <w:p w14:paraId="603AEC3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Interwenient główny oraz uboczny.</w:t>
      </w:r>
    </w:p>
    <w:p w14:paraId="4F85810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10. W postępowaniu cywilnym procesowym występują:</w:t>
      </w:r>
    </w:p>
    <w:p w14:paraId="4FB4C5F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Powód i pozwany,</w:t>
      </w:r>
    </w:p>
    <w:p w14:paraId="651B39F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Wnioskodawca i uczestnik,</w:t>
      </w:r>
    </w:p>
    <w:p w14:paraId="608BC37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Wierzyciel i dłużnik,</w:t>
      </w:r>
    </w:p>
    <w:p w14:paraId="6CD7C84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11. W wydziale cywilnym sądu rejonowego rozpoznawane są sprawy:</w:t>
      </w:r>
    </w:p>
    <w:p w14:paraId="2D2A861C" w14:textId="77777777" w:rsid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 xml:space="preserve">o alimenty, </w:t>
      </w:r>
    </w:p>
    <w:p w14:paraId="5367BD0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o podział majątku wspólnego</w:t>
      </w:r>
    </w:p>
    <w:p w14:paraId="4DCAD19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o ustanie wspólności majątkowej małżeńskiej</w:t>
      </w:r>
    </w:p>
    <w:p w14:paraId="78D75BD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lastRenderedPageBreak/>
        <w:t>d)</w:t>
      </w:r>
      <w:r w:rsidRPr="00036006">
        <w:rPr>
          <w:rFonts w:ascii="Times New Roman" w:hAnsi="Times New Roman" w:cs="Times New Roman"/>
        </w:rPr>
        <w:tab/>
        <w:t>o odszkodowanie pracownika od pracodawcy.</w:t>
      </w:r>
    </w:p>
    <w:p w14:paraId="78EBBDC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12. Sąd w postępowaniu   postępowanie zawieszone z powodu śmierci strony po upływie:</w:t>
      </w:r>
    </w:p>
    <w:p w14:paraId="06DC06E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roku od daty postanowienia o zawieszeniu postępowania z tej przyczyny</w:t>
      </w:r>
    </w:p>
    <w:p w14:paraId="4201D21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trzech lat od daty postanowienia o zawieszeniu postępowania z tej przyczyny</w:t>
      </w:r>
    </w:p>
    <w:p w14:paraId="5AE68896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 xml:space="preserve">pięciu lat od daty postanowienia o zawieszeniu postępowania z tej przyczyny </w:t>
      </w:r>
    </w:p>
    <w:p w14:paraId="5912CB77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sześciu lat od daty postanowienia o zawieszeniu postępowania z tej przyczyny</w:t>
      </w:r>
    </w:p>
    <w:p w14:paraId="4114806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13. Sentencje wyroku w sprawie cywilnej podpisuje:</w:t>
      </w:r>
    </w:p>
    <w:p w14:paraId="4A8FBA87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a) 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 xml:space="preserve">przewodniczący i protokolant </w:t>
      </w:r>
    </w:p>
    <w:p w14:paraId="06F39A3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cały skład sądu</w:t>
      </w:r>
    </w:p>
    <w:p w14:paraId="4A7033A1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protokolant</w:t>
      </w:r>
    </w:p>
    <w:p w14:paraId="4D7986C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cały skład sądu oraz prokurator jeśli był obecny na ogłoszeniu orzeczenia</w:t>
      </w:r>
    </w:p>
    <w:p w14:paraId="4A351BB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14, Od wyroku sądu pierwszej instancji przysługuje apelacja do sądu drugiej instancji:</w:t>
      </w:r>
    </w:p>
    <w:p w14:paraId="72764DD8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 xml:space="preserve"> w terminie dwutygodniowym od doręczenia stronie skarżącej wyroku z uzasadnieniem </w:t>
      </w:r>
    </w:p>
    <w:p w14:paraId="3F95410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w terminie miesiąca od doręczenia stronie skarżącej wyroku z uzasadnieniem</w:t>
      </w:r>
    </w:p>
    <w:p w14:paraId="5BED1A4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w terminie jednego miesiąca od ogłoszenie wyroku</w:t>
      </w:r>
    </w:p>
    <w:p w14:paraId="321653D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w terminie dwóch miesięcy od ogłoszenia wyroku</w:t>
      </w:r>
    </w:p>
    <w:p w14:paraId="1D9A1E9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15. Protokół sporządzony w sprawie cywilnej za pomocą urządzenia rejestrującego dźwięk albo obraz i dźwięk podpisuje:</w:t>
      </w:r>
    </w:p>
    <w:p w14:paraId="3C9554E3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protokolant podpisem elektronicznym</w:t>
      </w:r>
    </w:p>
    <w:p w14:paraId="47E658DD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przewodniczący podpisem elektronicznym </w:t>
      </w:r>
    </w:p>
    <w:p w14:paraId="6AEBEC4D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przewodniczący i protokolant podpisem elektronicznym</w:t>
      </w:r>
    </w:p>
    <w:p w14:paraId="77D533E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16. Pisemny protokół posiedzenia jawnego sporządzony w sprawie cywilnej podpisuje:</w:t>
      </w:r>
    </w:p>
    <w:p w14:paraId="49349DA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protokolant</w:t>
      </w:r>
    </w:p>
    <w:p w14:paraId="0290D1D5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 xml:space="preserve">przewodniczący </w:t>
      </w:r>
    </w:p>
    <w:p w14:paraId="08CE9AC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przewodniczący i protokolant</w:t>
      </w:r>
    </w:p>
    <w:p w14:paraId="7914287E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d) 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przewodniczący, protokolant oraz obecne strony</w:t>
      </w:r>
    </w:p>
    <w:p w14:paraId="15627210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17. W sprawie cywilnej sąd może odroczyć rozprawę:</w:t>
      </w:r>
    </w:p>
    <w:p w14:paraId="7CBE8396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a) 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 xml:space="preserve">na maksymalny okres 12 dni </w:t>
      </w:r>
    </w:p>
    <w:p w14:paraId="33CAFF0A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na maksymalny okres jednego miesiąca</w:t>
      </w:r>
    </w:p>
    <w:p w14:paraId="0DA6EBB1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na maksymalny okres 6 miesięcy</w:t>
      </w:r>
    </w:p>
    <w:p w14:paraId="57AC9C9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przepisy nie określają takiego okresu</w:t>
      </w:r>
    </w:p>
    <w:p w14:paraId="1400755F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18. Sprawy o uzgodnienie treści księgi wieczystej z rzeczywistym stanem prawnym rozpoznaje w pierwszej instancji:</w:t>
      </w:r>
    </w:p>
    <w:p w14:paraId="70A3848B" w14:textId="77777777" w:rsidR="00036006" w:rsidRPr="00036006" w:rsidRDefault="001234BB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a)</w:t>
      </w:r>
      <w:r>
        <w:rPr>
          <w:rFonts w:ascii="Times New Roman" w:hAnsi="Times New Roman" w:cs="Times New Roman"/>
        </w:rPr>
        <w:tab/>
      </w:r>
      <w:r w:rsidR="00036006" w:rsidRPr="00036006">
        <w:rPr>
          <w:rFonts w:ascii="Times New Roman" w:hAnsi="Times New Roman" w:cs="Times New Roman"/>
        </w:rPr>
        <w:t>Sąd Rejonowy Wydział Ksiąg Wieczystych w postępowaniu nieprocesowym</w:t>
      </w:r>
    </w:p>
    <w:p w14:paraId="4C20A9D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Sąd Rejonowy — Wydział Cywilny w postępowaniu procesowym jeżeli wartość przedmiotu sporu nie przekracza 100.000 zł</w:t>
      </w:r>
    </w:p>
    <w:p w14:paraId="1C20020F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 xml:space="preserve">Sąd Okręgowy — Wydział Cywilny w postępowaniu nieprocesowym jeżeli wartość przedmiotu przekracza 100.000 zł </w:t>
      </w:r>
    </w:p>
    <w:p w14:paraId="12FBBD56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Sąd Rejonowy - Wydział Cywilny w postępowaniu nieprocesowym</w:t>
      </w:r>
    </w:p>
    <w:p w14:paraId="5E9B557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19. Sprawy o stwierdzenie nabycia spadku w przypadku złożenia testamentu, który jest kwestionowany przez część spadkobierców rozpoznaje w pierwszej instancji:</w:t>
      </w:r>
    </w:p>
    <w:p w14:paraId="0829E204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a)</w:t>
      </w:r>
      <w:r w:rsidRPr="00036006">
        <w:rPr>
          <w:rFonts w:ascii="Times New Roman" w:hAnsi="Times New Roman" w:cs="Times New Roman"/>
        </w:rPr>
        <w:tab/>
        <w:t>Sąd Rejonowy</w:t>
      </w:r>
      <w:r w:rsidRPr="00036006">
        <w:rPr>
          <w:rFonts w:ascii="Times New Roman" w:hAnsi="Times New Roman" w:cs="Times New Roman"/>
        </w:rPr>
        <w:tab/>
        <w:t>Wydział Ksiąg Wieczystych w postępowaniu nieprocesowym</w:t>
      </w:r>
    </w:p>
    <w:p w14:paraId="49D060A2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Sąd Rejonowy — Wydział Cywilny w postępowaniu procesowym</w:t>
      </w:r>
    </w:p>
    <w:p w14:paraId="5A1814FF" w14:textId="77777777" w:rsidR="001234BB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 xml:space="preserve">Sąd Okręgowy — Wydział Cywilny w postępowaniu procesowym </w:t>
      </w:r>
    </w:p>
    <w:p w14:paraId="68EA54EC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</w:t>
      </w:r>
      <w:r w:rsidR="001234BB">
        <w:rPr>
          <w:rFonts w:ascii="Times New Roman" w:hAnsi="Times New Roman" w:cs="Times New Roman"/>
        </w:rPr>
        <w:t>)</w:t>
      </w:r>
      <w:r w:rsidR="001234BB">
        <w:rPr>
          <w:rFonts w:ascii="Times New Roman" w:hAnsi="Times New Roman" w:cs="Times New Roman"/>
        </w:rPr>
        <w:tab/>
      </w:r>
      <w:r w:rsidRPr="00036006">
        <w:rPr>
          <w:rFonts w:ascii="Times New Roman" w:hAnsi="Times New Roman" w:cs="Times New Roman"/>
        </w:rPr>
        <w:t>Sąd Rejonowy Wydział Cywilny w postępowaniu nieprocesowym</w:t>
      </w:r>
    </w:p>
    <w:p w14:paraId="00C8DD38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20. Wyrok zaoczny wydany na rozprawie w postępowaniu cywilnym doręczany jest :</w:t>
      </w:r>
    </w:p>
    <w:p w14:paraId="34DB6E02" w14:textId="77777777" w:rsidR="00036006" w:rsidRPr="00036006" w:rsidRDefault="001234BB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36006" w:rsidRPr="0003600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036006" w:rsidRPr="00036006">
        <w:rPr>
          <w:rFonts w:ascii="Times New Roman" w:hAnsi="Times New Roman" w:cs="Times New Roman"/>
        </w:rPr>
        <w:t>powodowi i pozwanemu</w:t>
      </w:r>
    </w:p>
    <w:p w14:paraId="61181333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tylko powodowi</w:t>
      </w:r>
    </w:p>
    <w:p w14:paraId="73A57403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tylko pozwanemu</w:t>
      </w:r>
    </w:p>
    <w:p w14:paraId="2D608F93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tylko powodowi, jeśli nie stawił się na rozprawę</w:t>
      </w:r>
    </w:p>
    <w:p w14:paraId="6C70D73C" w14:textId="77777777" w:rsidR="00036006" w:rsidRPr="00036006" w:rsidRDefault="00036006" w:rsidP="001234BB">
      <w:pPr>
        <w:jc w:val="both"/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 xml:space="preserve">21. Na jaki najdłuższy termin w postępowaniu cywilnym w postanowieniem wydanym niezwłocznie po zamknięciu rozprawy sąd może odroczyć ogłoszenie wyroku jeżeli </w:t>
      </w:r>
      <w:r w:rsidR="001234BB">
        <w:rPr>
          <w:rFonts w:ascii="Times New Roman" w:hAnsi="Times New Roman" w:cs="Times New Roman"/>
        </w:rPr>
        <w:t xml:space="preserve">sprawa jest szczególnie zawiła, </w:t>
      </w:r>
      <w:r w:rsidRPr="00036006">
        <w:rPr>
          <w:rFonts w:ascii="Times New Roman" w:hAnsi="Times New Roman" w:cs="Times New Roman"/>
        </w:rPr>
        <w:t>materiał sprawy jest szczególnie obszerny lub sąd jest znacznie obciążony czynnościami w innych sprawach:</w:t>
      </w:r>
    </w:p>
    <w:p w14:paraId="3FFE1B06" w14:textId="77777777" w:rsidR="00036006" w:rsidRPr="00036006" w:rsidRDefault="001234BB" w:rsidP="000360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36006" w:rsidRPr="0003600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036006" w:rsidRPr="00036006">
        <w:rPr>
          <w:rFonts w:ascii="Times New Roman" w:hAnsi="Times New Roman" w:cs="Times New Roman"/>
        </w:rPr>
        <w:t>na termin miesiąca od zamknięcia rozprawy</w:t>
      </w:r>
    </w:p>
    <w:p w14:paraId="125F8355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b)</w:t>
      </w:r>
      <w:r w:rsidRPr="00036006">
        <w:rPr>
          <w:rFonts w:ascii="Times New Roman" w:hAnsi="Times New Roman" w:cs="Times New Roman"/>
        </w:rPr>
        <w:tab/>
        <w:t>na termin 25 dni od zamknięcia rozprawy</w:t>
      </w:r>
    </w:p>
    <w:p w14:paraId="753E18A9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c)</w:t>
      </w:r>
      <w:r w:rsidRPr="00036006">
        <w:rPr>
          <w:rFonts w:ascii="Times New Roman" w:hAnsi="Times New Roman" w:cs="Times New Roman"/>
        </w:rPr>
        <w:tab/>
        <w:t>na termin 20 dni od zamknięcia rozprawy</w:t>
      </w:r>
    </w:p>
    <w:p w14:paraId="6A4501DB" w14:textId="77777777" w:rsidR="00036006" w:rsidRPr="00036006" w:rsidRDefault="00036006" w:rsidP="00036006">
      <w:pPr>
        <w:rPr>
          <w:rFonts w:ascii="Times New Roman" w:hAnsi="Times New Roman" w:cs="Times New Roman"/>
        </w:rPr>
      </w:pPr>
      <w:r w:rsidRPr="00036006">
        <w:rPr>
          <w:rFonts w:ascii="Times New Roman" w:hAnsi="Times New Roman" w:cs="Times New Roman"/>
        </w:rPr>
        <w:t>d)</w:t>
      </w:r>
      <w:r w:rsidRPr="00036006">
        <w:rPr>
          <w:rFonts w:ascii="Times New Roman" w:hAnsi="Times New Roman" w:cs="Times New Roman"/>
        </w:rPr>
        <w:tab/>
        <w:t>na termin 15 dni od zamknięcia rozprawy</w:t>
      </w:r>
    </w:p>
    <w:p w14:paraId="74650F23" w14:textId="77777777" w:rsidR="007A1634" w:rsidRPr="00036006" w:rsidRDefault="007A1634" w:rsidP="00036006">
      <w:pPr>
        <w:rPr>
          <w:rFonts w:ascii="Times New Roman" w:hAnsi="Times New Roman" w:cs="Times New Roman"/>
        </w:rPr>
      </w:pPr>
    </w:p>
    <w:sectPr w:rsidR="007A1634" w:rsidRPr="00036006">
      <w:footerReference w:type="even" r:id="rId7"/>
      <w:footerReference w:type="default" r:id="rId8"/>
      <w:footerReference w:type="first" r:id="rId9"/>
      <w:pgSz w:w="11904" w:h="16834"/>
      <w:pgMar w:top="1358" w:right="1243" w:bottom="1623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234A" w14:textId="77777777" w:rsidR="00AE59BD" w:rsidRDefault="00AE59BD">
      <w:pPr>
        <w:spacing w:after="0" w:line="240" w:lineRule="auto"/>
      </w:pPr>
      <w:r>
        <w:separator/>
      </w:r>
    </w:p>
  </w:endnote>
  <w:endnote w:type="continuationSeparator" w:id="0">
    <w:p w14:paraId="03EBE732" w14:textId="77777777" w:rsidR="00AE59BD" w:rsidRDefault="00AE5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9E79D" w14:textId="77777777" w:rsidR="007A1634" w:rsidRDefault="007A16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C117" w14:textId="77777777" w:rsidR="007A1634" w:rsidRDefault="007A163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8650" w14:textId="77777777" w:rsidR="007A1634" w:rsidRDefault="007A16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108C" w14:textId="77777777" w:rsidR="00AE59BD" w:rsidRDefault="00AE59BD">
      <w:pPr>
        <w:spacing w:after="0" w:line="240" w:lineRule="auto"/>
      </w:pPr>
      <w:r>
        <w:separator/>
      </w:r>
    </w:p>
  </w:footnote>
  <w:footnote w:type="continuationSeparator" w:id="0">
    <w:p w14:paraId="1151F26D" w14:textId="77777777" w:rsidR="00AE59BD" w:rsidRDefault="00AE5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1E9E"/>
    <w:multiLevelType w:val="hybridMultilevel"/>
    <w:tmpl w:val="7BDC2AF4"/>
    <w:lvl w:ilvl="0" w:tplc="5204E90A">
      <w:start w:val="1"/>
      <w:numFmt w:val="lowerLetter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46A66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9E464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C8856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C28DB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AA500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A0F9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3EC8C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2C4DB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00FEA"/>
    <w:multiLevelType w:val="hybridMultilevel"/>
    <w:tmpl w:val="7324C398"/>
    <w:lvl w:ilvl="0" w:tplc="1BC0F69A">
      <w:start w:val="1"/>
      <w:numFmt w:val="lowerLetter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7858E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82875A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BA82658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86C74CE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5C415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18D32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D203E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5CA21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136185"/>
    <w:multiLevelType w:val="hybridMultilevel"/>
    <w:tmpl w:val="F9388E02"/>
    <w:lvl w:ilvl="0" w:tplc="56A6824E">
      <w:start w:val="3"/>
      <w:numFmt w:val="lowerLetter"/>
      <w:lvlText w:val="%1)"/>
      <w:lvlJc w:val="left"/>
      <w:pPr>
        <w:ind w:left="5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A8698">
      <w:start w:val="1"/>
      <w:numFmt w:val="lowerLetter"/>
      <w:lvlText w:val="%2"/>
      <w:lvlJc w:val="left"/>
      <w:pPr>
        <w:ind w:left="11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9C2F72">
      <w:start w:val="1"/>
      <w:numFmt w:val="lowerRoman"/>
      <w:lvlText w:val="%3"/>
      <w:lvlJc w:val="left"/>
      <w:pPr>
        <w:ind w:left="19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6F4CE">
      <w:start w:val="1"/>
      <w:numFmt w:val="decimal"/>
      <w:lvlText w:val="%4"/>
      <w:lvlJc w:val="left"/>
      <w:pPr>
        <w:ind w:left="26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10DC42">
      <w:start w:val="1"/>
      <w:numFmt w:val="lowerLetter"/>
      <w:lvlText w:val="%5"/>
      <w:lvlJc w:val="left"/>
      <w:pPr>
        <w:ind w:left="334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1EC382">
      <w:start w:val="1"/>
      <w:numFmt w:val="lowerRoman"/>
      <w:lvlText w:val="%6"/>
      <w:lvlJc w:val="left"/>
      <w:pPr>
        <w:ind w:left="40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6DE7A">
      <w:start w:val="1"/>
      <w:numFmt w:val="decimal"/>
      <w:lvlText w:val="%7"/>
      <w:lvlJc w:val="left"/>
      <w:pPr>
        <w:ind w:left="47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680A7A">
      <w:start w:val="1"/>
      <w:numFmt w:val="lowerLetter"/>
      <w:lvlText w:val="%8"/>
      <w:lvlJc w:val="left"/>
      <w:pPr>
        <w:ind w:left="55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B4203A">
      <w:start w:val="1"/>
      <w:numFmt w:val="lowerRoman"/>
      <w:lvlText w:val="%9"/>
      <w:lvlJc w:val="left"/>
      <w:pPr>
        <w:ind w:left="62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B48A3"/>
    <w:multiLevelType w:val="hybridMultilevel"/>
    <w:tmpl w:val="C840CD68"/>
    <w:lvl w:ilvl="0" w:tplc="A06A7AA0">
      <w:start w:val="1"/>
      <w:numFmt w:val="lowerLetter"/>
      <w:lvlText w:val="%1)"/>
      <w:lvlJc w:val="left"/>
      <w:pPr>
        <w:ind w:left="7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4CBBBE">
      <w:start w:val="1"/>
      <w:numFmt w:val="lowerLetter"/>
      <w:lvlText w:val="%2"/>
      <w:lvlJc w:val="left"/>
      <w:pPr>
        <w:ind w:left="11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CEAF2">
      <w:start w:val="1"/>
      <w:numFmt w:val="lowerRoman"/>
      <w:lvlText w:val="%3"/>
      <w:lvlJc w:val="left"/>
      <w:pPr>
        <w:ind w:left="18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3AEC02">
      <w:start w:val="1"/>
      <w:numFmt w:val="decimal"/>
      <w:lvlText w:val="%4"/>
      <w:lvlJc w:val="left"/>
      <w:pPr>
        <w:ind w:left="25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0BAD2">
      <w:start w:val="1"/>
      <w:numFmt w:val="lowerLetter"/>
      <w:lvlText w:val="%5"/>
      <w:lvlJc w:val="left"/>
      <w:pPr>
        <w:ind w:left="330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76771E">
      <w:start w:val="1"/>
      <w:numFmt w:val="lowerRoman"/>
      <w:lvlText w:val="%6"/>
      <w:lvlJc w:val="left"/>
      <w:pPr>
        <w:ind w:left="40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76E1FC">
      <w:start w:val="1"/>
      <w:numFmt w:val="decimal"/>
      <w:lvlText w:val="%7"/>
      <w:lvlJc w:val="left"/>
      <w:pPr>
        <w:ind w:left="47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E0083A">
      <w:start w:val="1"/>
      <w:numFmt w:val="lowerLetter"/>
      <w:lvlText w:val="%8"/>
      <w:lvlJc w:val="left"/>
      <w:pPr>
        <w:ind w:left="546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24FD1E">
      <w:start w:val="1"/>
      <w:numFmt w:val="lowerRoman"/>
      <w:lvlText w:val="%9"/>
      <w:lvlJc w:val="left"/>
      <w:pPr>
        <w:ind w:left="61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06686C"/>
    <w:multiLevelType w:val="hybridMultilevel"/>
    <w:tmpl w:val="9D4A904C"/>
    <w:lvl w:ilvl="0" w:tplc="5100D996">
      <w:start w:val="1"/>
      <w:numFmt w:val="lowerLetter"/>
      <w:lvlText w:val="%1)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F4BBE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02233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D89C7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76649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DEDE0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47C34D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FACFC3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ABA655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4459E9"/>
    <w:multiLevelType w:val="hybridMultilevel"/>
    <w:tmpl w:val="F37A53AC"/>
    <w:lvl w:ilvl="0" w:tplc="745EC668">
      <w:start w:val="2"/>
      <w:numFmt w:val="lowerLetter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2AC0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5C86E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6A8CC7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FCE40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27E77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E04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8D2B2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5D8319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34A24"/>
    <w:multiLevelType w:val="hybridMultilevel"/>
    <w:tmpl w:val="18B094B2"/>
    <w:lvl w:ilvl="0" w:tplc="02361D20">
      <w:start w:val="2"/>
      <w:numFmt w:val="lowerLetter"/>
      <w:lvlText w:val="%1)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2A83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0B34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443E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CA45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687E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C495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ADCA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C765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3F42F8"/>
    <w:multiLevelType w:val="hybridMultilevel"/>
    <w:tmpl w:val="B4E409AA"/>
    <w:lvl w:ilvl="0" w:tplc="0E96F4CA">
      <w:start w:val="1"/>
      <w:numFmt w:val="decimal"/>
      <w:lvlText w:val="%1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F04BE82">
      <w:start w:val="1"/>
      <w:numFmt w:val="lowerLetter"/>
      <w:lvlText w:val="%2)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8C902">
      <w:start w:val="1"/>
      <w:numFmt w:val="lowerRoman"/>
      <w:lvlText w:val="%3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F48CB4">
      <w:start w:val="1"/>
      <w:numFmt w:val="decimal"/>
      <w:lvlText w:val="%4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4ACAA4">
      <w:start w:val="1"/>
      <w:numFmt w:val="lowerLetter"/>
      <w:lvlText w:val="%5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641BC0">
      <w:start w:val="1"/>
      <w:numFmt w:val="lowerRoman"/>
      <w:lvlText w:val="%6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50217A">
      <w:start w:val="1"/>
      <w:numFmt w:val="decimal"/>
      <w:lvlText w:val="%7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EE644">
      <w:start w:val="1"/>
      <w:numFmt w:val="lowerLetter"/>
      <w:lvlText w:val="%8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6B004">
      <w:start w:val="1"/>
      <w:numFmt w:val="lowerRoman"/>
      <w:lvlText w:val="%9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DC15B0"/>
    <w:multiLevelType w:val="hybridMultilevel"/>
    <w:tmpl w:val="7D8A74AA"/>
    <w:lvl w:ilvl="0" w:tplc="275E94DA">
      <w:start w:val="3"/>
      <w:numFmt w:val="lowerLetter"/>
      <w:lvlText w:val="%1)"/>
      <w:lvlJc w:val="left"/>
      <w:pPr>
        <w:ind w:left="7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20ACDC">
      <w:start w:val="1"/>
      <w:numFmt w:val="lowerLetter"/>
      <w:lvlText w:val="%2"/>
      <w:lvlJc w:val="left"/>
      <w:pPr>
        <w:ind w:left="11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C222E2">
      <w:start w:val="1"/>
      <w:numFmt w:val="lowerRoman"/>
      <w:lvlText w:val="%3"/>
      <w:lvlJc w:val="left"/>
      <w:pPr>
        <w:ind w:left="18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8A7A76">
      <w:start w:val="1"/>
      <w:numFmt w:val="decimal"/>
      <w:lvlText w:val="%4"/>
      <w:lvlJc w:val="left"/>
      <w:pPr>
        <w:ind w:left="25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2E401E">
      <w:start w:val="1"/>
      <w:numFmt w:val="lowerLetter"/>
      <w:lvlText w:val="%5"/>
      <w:lvlJc w:val="left"/>
      <w:pPr>
        <w:ind w:left="32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309808">
      <w:start w:val="1"/>
      <w:numFmt w:val="lowerRoman"/>
      <w:lvlText w:val="%6"/>
      <w:lvlJc w:val="left"/>
      <w:pPr>
        <w:ind w:left="39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CC57F4">
      <w:start w:val="1"/>
      <w:numFmt w:val="decimal"/>
      <w:lvlText w:val="%7"/>
      <w:lvlJc w:val="left"/>
      <w:pPr>
        <w:ind w:left="47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88D9D2">
      <w:start w:val="1"/>
      <w:numFmt w:val="lowerLetter"/>
      <w:lvlText w:val="%8"/>
      <w:lvlJc w:val="left"/>
      <w:pPr>
        <w:ind w:left="54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30FBD0">
      <w:start w:val="1"/>
      <w:numFmt w:val="lowerRoman"/>
      <w:lvlText w:val="%9"/>
      <w:lvlJc w:val="left"/>
      <w:pPr>
        <w:ind w:left="61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5F7E0C"/>
    <w:multiLevelType w:val="hybridMultilevel"/>
    <w:tmpl w:val="C7A4908E"/>
    <w:lvl w:ilvl="0" w:tplc="15A0003E">
      <w:start w:val="2"/>
      <w:numFmt w:val="lowerLetter"/>
      <w:lvlText w:val="%1)"/>
      <w:lvlJc w:val="left"/>
      <w:pPr>
        <w:ind w:left="3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24912C">
      <w:start w:val="1"/>
      <w:numFmt w:val="lowerLetter"/>
      <w:lvlText w:val="%2"/>
      <w:lvlJc w:val="left"/>
      <w:pPr>
        <w:ind w:left="11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7AE074">
      <w:start w:val="1"/>
      <w:numFmt w:val="lowerRoman"/>
      <w:lvlText w:val="%3"/>
      <w:lvlJc w:val="left"/>
      <w:pPr>
        <w:ind w:left="18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1A3E1E">
      <w:start w:val="1"/>
      <w:numFmt w:val="decimal"/>
      <w:lvlText w:val="%4"/>
      <w:lvlJc w:val="left"/>
      <w:pPr>
        <w:ind w:left="25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BA9F2A">
      <w:start w:val="1"/>
      <w:numFmt w:val="lowerLetter"/>
      <w:lvlText w:val="%5"/>
      <w:lvlJc w:val="left"/>
      <w:pPr>
        <w:ind w:left="33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81A90">
      <w:start w:val="1"/>
      <w:numFmt w:val="lowerRoman"/>
      <w:lvlText w:val="%6"/>
      <w:lvlJc w:val="left"/>
      <w:pPr>
        <w:ind w:left="40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8C3F4">
      <w:start w:val="1"/>
      <w:numFmt w:val="decimal"/>
      <w:lvlText w:val="%7"/>
      <w:lvlJc w:val="left"/>
      <w:pPr>
        <w:ind w:left="47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8C5214">
      <w:start w:val="1"/>
      <w:numFmt w:val="lowerLetter"/>
      <w:lvlText w:val="%8"/>
      <w:lvlJc w:val="left"/>
      <w:pPr>
        <w:ind w:left="54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38C4B6">
      <w:start w:val="1"/>
      <w:numFmt w:val="lowerRoman"/>
      <w:lvlText w:val="%9"/>
      <w:lvlJc w:val="left"/>
      <w:pPr>
        <w:ind w:left="61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A96223"/>
    <w:multiLevelType w:val="hybridMultilevel"/>
    <w:tmpl w:val="264691A8"/>
    <w:lvl w:ilvl="0" w:tplc="4282F9FA">
      <w:start w:val="3"/>
      <w:numFmt w:val="lowerLetter"/>
      <w:lvlText w:val="%1)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0D33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4B5E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6C5E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3CB31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A02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4A4C8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00DD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E398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18002F"/>
    <w:multiLevelType w:val="hybridMultilevel"/>
    <w:tmpl w:val="791E063A"/>
    <w:lvl w:ilvl="0" w:tplc="20746B4C">
      <w:start w:val="1"/>
      <w:numFmt w:val="lowerLetter"/>
      <w:lvlText w:val="%1)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FE9042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24FBAC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98A446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476C97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0A812B2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0345C4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8468C74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6881654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383D89"/>
    <w:multiLevelType w:val="hybridMultilevel"/>
    <w:tmpl w:val="F93AD350"/>
    <w:lvl w:ilvl="0" w:tplc="3BFED0E0">
      <w:start w:val="1"/>
      <w:numFmt w:val="lowerLetter"/>
      <w:lvlText w:val="%1)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BEB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F41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C4FF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605A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7428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E4C2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E91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6AE4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1B333B"/>
    <w:multiLevelType w:val="hybridMultilevel"/>
    <w:tmpl w:val="3AE4ABFC"/>
    <w:lvl w:ilvl="0" w:tplc="4DB20042">
      <w:start w:val="1"/>
      <w:numFmt w:val="lowerLetter"/>
      <w:lvlText w:val="%1)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CA31EC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40BCC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A6EA80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EC39B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B21C78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3053B2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9E341E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D661C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48711A"/>
    <w:multiLevelType w:val="hybridMultilevel"/>
    <w:tmpl w:val="7C1A7C92"/>
    <w:lvl w:ilvl="0" w:tplc="62B65D3C">
      <w:start w:val="1"/>
      <w:numFmt w:val="lowerLetter"/>
      <w:lvlText w:val="%1)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088C0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79C2AEC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A450D8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3FE92E2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EE9688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EA2E03C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BC2544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B562522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825DB6"/>
    <w:multiLevelType w:val="hybridMultilevel"/>
    <w:tmpl w:val="AD40F53C"/>
    <w:lvl w:ilvl="0" w:tplc="A11C361E">
      <w:start w:val="2"/>
      <w:numFmt w:val="lowerLetter"/>
      <w:lvlText w:val="%1)"/>
      <w:lvlJc w:val="left"/>
      <w:pPr>
        <w:ind w:left="4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A80A16">
      <w:start w:val="1"/>
      <w:numFmt w:val="lowerLetter"/>
      <w:lvlText w:val="%2"/>
      <w:lvlJc w:val="left"/>
      <w:pPr>
        <w:ind w:left="11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FC425E">
      <w:start w:val="1"/>
      <w:numFmt w:val="lowerRoman"/>
      <w:lvlText w:val="%3"/>
      <w:lvlJc w:val="left"/>
      <w:pPr>
        <w:ind w:left="18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6E7CC2">
      <w:start w:val="1"/>
      <w:numFmt w:val="decimal"/>
      <w:lvlText w:val="%4"/>
      <w:lvlJc w:val="left"/>
      <w:pPr>
        <w:ind w:left="2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26754">
      <w:start w:val="1"/>
      <w:numFmt w:val="lowerLetter"/>
      <w:lvlText w:val="%5"/>
      <w:lvlJc w:val="left"/>
      <w:pPr>
        <w:ind w:left="33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E02592">
      <w:start w:val="1"/>
      <w:numFmt w:val="lowerRoman"/>
      <w:lvlText w:val="%6"/>
      <w:lvlJc w:val="left"/>
      <w:pPr>
        <w:ind w:left="4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F6AB90">
      <w:start w:val="1"/>
      <w:numFmt w:val="decimal"/>
      <w:lvlText w:val="%7"/>
      <w:lvlJc w:val="left"/>
      <w:pPr>
        <w:ind w:left="4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F08682">
      <w:start w:val="1"/>
      <w:numFmt w:val="lowerLetter"/>
      <w:lvlText w:val="%8"/>
      <w:lvlJc w:val="left"/>
      <w:pPr>
        <w:ind w:left="5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BC6380">
      <w:start w:val="1"/>
      <w:numFmt w:val="lowerRoman"/>
      <w:lvlText w:val="%9"/>
      <w:lvlJc w:val="left"/>
      <w:pPr>
        <w:ind w:left="62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5172F0"/>
    <w:multiLevelType w:val="hybridMultilevel"/>
    <w:tmpl w:val="45FA163E"/>
    <w:lvl w:ilvl="0" w:tplc="CB8C5044">
      <w:start w:val="2"/>
      <w:numFmt w:val="lowerLetter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070A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A83A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61B96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6E06E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6497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E104A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C97AA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C4F4A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2640B3"/>
    <w:multiLevelType w:val="hybridMultilevel"/>
    <w:tmpl w:val="A356A920"/>
    <w:lvl w:ilvl="0" w:tplc="D5C0C898">
      <w:start w:val="2"/>
      <w:numFmt w:val="lowerLetter"/>
      <w:lvlText w:val="%1)"/>
      <w:lvlJc w:val="left"/>
      <w:pPr>
        <w:ind w:left="8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88E3A">
      <w:start w:val="1"/>
      <w:numFmt w:val="lowerLetter"/>
      <w:lvlText w:val="%2"/>
      <w:lvlJc w:val="left"/>
      <w:pPr>
        <w:ind w:left="11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0CAFD8">
      <w:start w:val="1"/>
      <w:numFmt w:val="lowerRoman"/>
      <w:lvlText w:val="%3"/>
      <w:lvlJc w:val="left"/>
      <w:pPr>
        <w:ind w:left="18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7A5B76">
      <w:start w:val="1"/>
      <w:numFmt w:val="decimal"/>
      <w:lvlText w:val="%4"/>
      <w:lvlJc w:val="left"/>
      <w:pPr>
        <w:ind w:left="25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A2A2">
      <w:start w:val="1"/>
      <w:numFmt w:val="lowerLetter"/>
      <w:lvlText w:val="%5"/>
      <w:lvlJc w:val="left"/>
      <w:pPr>
        <w:ind w:left="33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A6284">
      <w:start w:val="1"/>
      <w:numFmt w:val="lowerRoman"/>
      <w:lvlText w:val="%6"/>
      <w:lvlJc w:val="left"/>
      <w:pPr>
        <w:ind w:left="40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2EA24">
      <w:start w:val="1"/>
      <w:numFmt w:val="decimal"/>
      <w:lvlText w:val="%7"/>
      <w:lvlJc w:val="left"/>
      <w:pPr>
        <w:ind w:left="47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E3260">
      <w:start w:val="1"/>
      <w:numFmt w:val="lowerLetter"/>
      <w:lvlText w:val="%8"/>
      <w:lvlJc w:val="left"/>
      <w:pPr>
        <w:ind w:left="54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6E99E">
      <w:start w:val="1"/>
      <w:numFmt w:val="lowerRoman"/>
      <w:lvlText w:val="%9"/>
      <w:lvlJc w:val="left"/>
      <w:pPr>
        <w:ind w:left="61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255759"/>
    <w:multiLevelType w:val="hybridMultilevel"/>
    <w:tmpl w:val="679C454C"/>
    <w:lvl w:ilvl="0" w:tplc="CF14C994">
      <w:start w:val="1"/>
      <w:numFmt w:val="lowerLetter"/>
      <w:lvlText w:val="%1)"/>
      <w:lvlJc w:val="left"/>
      <w:pPr>
        <w:ind w:left="2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B0BB94">
      <w:start w:val="1"/>
      <w:numFmt w:val="lowerLetter"/>
      <w:lvlText w:val="%2"/>
      <w:lvlJc w:val="left"/>
      <w:pPr>
        <w:ind w:left="11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23D28">
      <w:start w:val="1"/>
      <w:numFmt w:val="lowerRoman"/>
      <w:lvlText w:val="%3"/>
      <w:lvlJc w:val="left"/>
      <w:pPr>
        <w:ind w:left="18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20F2E0">
      <w:start w:val="1"/>
      <w:numFmt w:val="decimal"/>
      <w:lvlText w:val="%4"/>
      <w:lvlJc w:val="left"/>
      <w:pPr>
        <w:ind w:left="26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2DD00">
      <w:start w:val="1"/>
      <w:numFmt w:val="lowerLetter"/>
      <w:lvlText w:val="%5"/>
      <w:lvlJc w:val="left"/>
      <w:pPr>
        <w:ind w:left="333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8CDDA">
      <w:start w:val="1"/>
      <w:numFmt w:val="lowerRoman"/>
      <w:lvlText w:val="%6"/>
      <w:lvlJc w:val="left"/>
      <w:pPr>
        <w:ind w:left="405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5CE538">
      <w:start w:val="1"/>
      <w:numFmt w:val="decimal"/>
      <w:lvlText w:val="%7"/>
      <w:lvlJc w:val="left"/>
      <w:pPr>
        <w:ind w:left="477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86C862">
      <w:start w:val="1"/>
      <w:numFmt w:val="lowerLetter"/>
      <w:lvlText w:val="%8"/>
      <w:lvlJc w:val="left"/>
      <w:pPr>
        <w:ind w:left="549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EE69C">
      <w:start w:val="1"/>
      <w:numFmt w:val="lowerRoman"/>
      <w:lvlText w:val="%9"/>
      <w:lvlJc w:val="left"/>
      <w:pPr>
        <w:ind w:left="62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7C3868"/>
    <w:multiLevelType w:val="hybridMultilevel"/>
    <w:tmpl w:val="7FFA3FF8"/>
    <w:lvl w:ilvl="0" w:tplc="92DA48F8">
      <w:start w:val="1"/>
      <w:numFmt w:val="lowerLetter"/>
      <w:lvlText w:val="%1)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5780ACE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4A8212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486A5BC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73E3AF4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FD4ADD6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582AC0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6026B7E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56424A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7560DF"/>
    <w:multiLevelType w:val="hybridMultilevel"/>
    <w:tmpl w:val="1BCCBB68"/>
    <w:lvl w:ilvl="0" w:tplc="3580C798">
      <w:start w:val="3"/>
      <w:numFmt w:val="lowerLetter"/>
      <w:lvlText w:val="%1)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084F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6AAA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6BE6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0956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CC9B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8845F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C0D1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FE5BE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97E6351"/>
    <w:multiLevelType w:val="hybridMultilevel"/>
    <w:tmpl w:val="CAB40820"/>
    <w:lvl w:ilvl="0" w:tplc="0812FC14">
      <w:start w:val="1"/>
      <w:numFmt w:val="lowerLetter"/>
      <w:lvlText w:val="%1)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0964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7E9DE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067E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0207B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9E0F0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E457F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848F2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7000A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4776D0"/>
    <w:multiLevelType w:val="hybridMultilevel"/>
    <w:tmpl w:val="D486AEE6"/>
    <w:lvl w:ilvl="0" w:tplc="400EAB1A">
      <w:start w:val="1"/>
      <w:numFmt w:val="lowerLetter"/>
      <w:lvlText w:val="%1)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4685A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722C1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16045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6EAA7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28670A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86E24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01C926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040830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B269BD"/>
    <w:multiLevelType w:val="hybridMultilevel"/>
    <w:tmpl w:val="A4F836A6"/>
    <w:lvl w:ilvl="0" w:tplc="EF58C6AA">
      <w:start w:val="3"/>
      <w:numFmt w:val="lowerLetter"/>
      <w:lvlText w:val="%1)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2A3B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0D26C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0A151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4FF0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294C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A5F4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2C44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8AB8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9C53C2"/>
    <w:multiLevelType w:val="hybridMultilevel"/>
    <w:tmpl w:val="1B585FEA"/>
    <w:lvl w:ilvl="0" w:tplc="1BB201DE">
      <w:start w:val="1"/>
      <w:numFmt w:val="lowerLetter"/>
      <w:lvlText w:val="%1)"/>
      <w:lvlJc w:val="left"/>
      <w:pPr>
        <w:ind w:left="3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D6306C">
      <w:start w:val="1"/>
      <w:numFmt w:val="lowerLetter"/>
      <w:lvlText w:val="%2"/>
      <w:lvlJc w:val="left"/>
      <w:pPr>
        <w:ind w:left="11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ECFF82">
      <w:start w:val="1"/>
      <w:numFmt w:val="lowerRoman"/>
      <w:lvlText w:val="%3"/>
      <w:lvlJc w:val="left"/>
      <w:pPr>
        <w:ind w:left="18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FA8B72">
      <w:start w:val="1"/>
      <w:numFmt w:val="decimal"/>
      <w:lvlText w:val="%4"/>
      <w:lvlJc w:val="left"/>
      <w:pPr>
        <w:ind w:left="25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8496B6">
      <w:start w:val="1"/>
      <w:numFmt w:val="lowerLetter"/>
      <w:lvlText w:val="%5"/>
      <w:lvlJc w:val="left"/>
      <w:pPr>
        <w:ind w:left="32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D2EABE">
      <w:start w:val="1"/>
      <w:numFmt w:val="lowerRoman"/>
      <w:lvlText w:val="%6"/>
      <w:lvlJc w:val="left"/>
      <w:pPr>
        <w:ind w:left="39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E6E872">
      <w:start w:val="1"/>
      <w:numFmt w:val="decimal"/>
      <w:lvlText w:val="%7"/>
      <w:lvlJc w:val="left"/>
      <w:pPr>
        <w:ind w:left="47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7AF9DC">
      <w:start w:val="1"/>
      <w:numFmt w:val="lowerLetter"/>
      <w:lvlText w:val="%8"/>
      <w:lvlJc w:val="left"/>
      <w:pPr>
        <w:ind w:left="54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5432F8">
      <w:start w:val="1"/>
      <w:numFmt w:val="lowerRoman"/>
      <w:lvlText w:val="%9"/>
      <w:lvlJc w:val="left"/>
      <w:pPr>
        <w:ind w:left="61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CE570A"/>
    <w:multiLevelType w:val="hybridMultilevel"/>
    <w:tmpl w:val="EBD290E2"/>
    <w:lvl w:ilvl="0" w:tplc="CAFCB7A2">
      <w:start w:val="2"/>
      <w:numFmt w:val="lowerLetter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46B1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EE704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8E19F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6E9068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A5B7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B26E1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E1E9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A352A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D63E37"/>
    <w:multiLevelType w:val="hybridMultilevel"/>
    <w:tmpl w:val="F38C02D8"/>
    <w:lvl w:ilvl="0" w:tplc="8DD49796">
      <w:start w:val="1"/>
      <w:numFmt w:val="lowerLetter"/>
      <w:lvlText w:val="%1)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A0A746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6CBE0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76C7058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208E70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3C7E74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7427E9A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3C97B6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445476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53727">
    <w:abstractNumId w:val="14"/>
  </w:num>
  <w:num w:numId="2" w16cid:durableId="753747863">
    <w:abstractNumId w:val="26"/>
  </w:num>
  <w:num w:numId="3" w16cid:durableId="573318906">
    <w:abstractNumId w:val="19"/>
  </w:num>
  <w:num w:numId="4" w16cid:durableId="1498349846">
    <w:abstractNumId w:val="11"/>
  </w:num>
  <w:num w:numId="5" w16cid:durableId="1424910619">
    <w:abstractNumId w:val="5"/>
  </w:num>
  <w:num w:numId="6" w16cid:durableId="917909304">
    <w:abstractNumId w:val="1"/>
  </w:num>
  <w:num w:numId="7" w16cid:durableId="529802676">
    <w:abstractNumId w:val="4"/>
  </w:num>
  <w:num w:numId="8" w16cid:durableId="1710686397">
    <w:abstractNumId w:val="7"/>
  </w:num>
  <w:num w:numId="9" w16cid:durableId="122579572">
    <w:abstractNumId w:val="0"/>
  </w:num>
  <w:num w:numId="10" w16cid:durableId="1020552247">
    <w:abstractNumId w:val="25"/>
  </w:num>
  <w:num w:numId="11" w16cid:durableId="1083836119">
    <w:abstractNumId w:val="21"/>
  </w:num>
  <w:num w:numId="12" w16cid:durableId="1151361246">
    <w:abstractNumId w:val="2"/>
  </w:num>
  <w:num w:numId="13" w16cid:durableId="2000696168">
    <w:abstractNumId w:val="18"/>
  </w:num>
  <w:num w:numId="14" w16cid:durableId="221327965">
    <w:abstractNumId w:val="15"/>
  </w:num>
  <w:num w:numId="15" w16cid:durableId="11611693">
    <w:abstractNumId w:val="17"/>
  </w:num>
  <w:num w:numId="16" w16cid:durableId="57098194">
    <w:abstractNumId w:val="3"/>
  </w:num>
  <w:num w:numId="17" w16cid:durableId="1519394453">
    <w:abstractNumId w:val="8"/>
  </w:num>
  <w:num w:numId="18" w16cid:durableId="1309700118">
    <w:abstractNumId w:val="24"/>
  </w:num>
  <w:num w:numId="19" w16cid:durableId="1255015640">
    <w:abstractNumId w:val="23"/>
  </w:num>
  <w:num w:numId="20" w16cid:durableId="612707199">
    <w:abstractNumId w:val="20"/>
  </w:num>
  <w:num w:numId="21" w16cid:durableId="1912353663">
    <w:abstractNumId w:val="12"/>
  </w:num>
  <w:num w:numId="22" w16cid:durableId="609093356">
    <w:abstractNumId w:val="22"/>
  </w:num>
  <w:num w:numId="23" w16cid:durableId="806776988">
    <w:abstractNumId w:val="10"/>
  </w:num>
  <w:num w:numId="24" w16cid:durableId="1403211210">
    <w:abstractNumId w:val="6"/>
  </w:num>
  <w:num w:numId="25" w16cid:durableId="1524704290">
    <w:abstractNumId w:val="13"/>
  </w:num>
  <w:num w:numId="26" w16cid:durableId="897470822">
    <w:abstractNumId w:val="16"/>
  </w:num>
  <w:num w:numId="27" w16cid:durableId="17700779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34"/>
    <w:rsid w:val="00036006"/>
    <w:rsid w:val="001234BB"/>
    <w:rsid w:val="003B7CFC"/>
    <w:rsid w:val="00624337"/>
    <w:rsid w:val="007A1634"/>
    <w:rsid w:val="00AE59BD"/>
    <w:rsid w:val="00A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1693C"/>
  <w15:docId w15:val="{966E3B37-AF3D-4E8C-85FD-DC29EDDEF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ourier New" w:eastAsia="Courier New" w:hAnsi="Courier New" w:cs="Courier New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1402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Koleśnik-Matelak Justyna</dc:creator>
  <cp:keywords/>
  <cp:lastModifiedBy>Borysieńka Julita</cp:lastModifiedBy>
  <cp:revision>2</cp:revision>
  <dcterms:created xsi:type="dcterms:W3CDTF">2026-07-21T08:25:00Z</dcterms:created>
  <dcterms:modified xsi:type="dcterms:W3CDTF">2026-07-21T08:25:00Z</dcterms:modified>
</cp:coreProperties>
</file>