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8E1" w:rsidRDefault="0097544C">
      <w:pPr>
        <w:spacing w:after="162"/>
        <w:ind w:left="36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68E1" w:rsidRDefault="0097544C">
      <w:pPr>
        <w:spacing w:after="114"/>
        <w:ind w:left="368" w:right="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CZĘŚĆ I </w:t>
      </w:r>
    </w:p>
    <w:p w:rsidR="000F68E1" w:rsidRDefault="0097544C">
      <w:pPr>
        <w:spacing w:after="114"/>
        <w:ind w:left="36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TEST JEDNOKROTNEGO WYBORU </w:t>
      </w:r>
    </w:p>
    <w:p w:rsidR="000F68E1" w:rsidRDefault="0097544C">
      <w:pPr>
        <w:spacing w:after="112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68E1" w:rsidRDefault="0097544C">
      <w:pPr>
        <w:spacing w:after="0" w:line="284" w:lineRule="auto"/>
        <w:ind w:left="355" w:right="-11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Część I pracy konkursowej konkursu na asystenta sędziego polega na rozwiązaniu przez Kandydata testu jednokrotnego wyboru, obejmującego 36 pytań z zakresu prawa cywilnego i karnego oraz postępowania cywilnego i karnego. </w:t>
      </w:r>
    </w:p>
    <w:p w:rsidR="000F68E1" w:rsidRDefault="0097544C">
      <w:pPr>
        <w:spacing w:after="0" w:line="284" w:lineRule="auto"/>
        <w:ind w:left="355" w:right="-11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Odpowiedź właściwą należy wskazać p</w:t>
      </w:r>
      <w:r>
        <w:rPr>
          <w:rFonts w:ascii="Times New Roman" w:eastAsia="Times New Roman" w:hAnsi="Times New Roman" w:cs="Times New Roman"/>
          <w:i/>
          <w:sz w:val="24"/>
        </w:rPr>
        <w:t xml:space="preserve">rzez zakreślenie znakiem „X” oznaczenia literowego. Za każde prawidłowe rozwiązanie zadania tekstowego komisja przyznaje 1 punkt.  </w:t>
      </w:r>
    </w:p>
    <w:p w:rsidR="000F68E1" w:rsidRDefault="0097544C">
      <w:pPr>
        <w:spacing w:after="69"/>
        <w:ind w:left="36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F68E1" w:rsidRDefault="0097544C">
      <w:pPr>
        <w:numPr>
          <w:ilvl w:val="0"/>
          <w:numId w:val="1"/>
        </w:numPr>
        <w:spacing w:after="43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Sprawy o alimenty należą do właściwości: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sądu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rejonowego,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sądu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okręgowego,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sądu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rejonowego lub sądu okręgowego w zależn</w:t>
      </w:r>
      <w:r>
        <w:rPr>
          <w:rFonts w:ascii="Times New Roman" w:eastAsia="Times New Roman" w:hAnsi="Times New Roman" w:cs="Times New Roman"/>
          <w:sz w:val="24"/>
        </w:rPr>
        <w:t xml:space="preserve">ości od wysokości dochodzonych alimentów (wartość przedmiotu sporu). </w:t>
      </w:r>
    </w:p>
    <w:p w:rsidR="000F68E1" w:rsidRDefault="0097544C">
      <w:pPr>
        <w:numPr>
          <w:ilvl w:val="0"/>
          <w:numId w:val="1"/>
        </w:numPr>
        <w:spacing w:after="38" w:line="280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przepisami kodeksu rodzinnego i opiekuńczego obowiązek alimentacyjny rodzica wobec dziecka wygasa, gdy dziecko: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ukończyło 18 lat, </w:t>
      </w:r>
    </w:p>
    <w:p w:rsidR="000F68E1" w:rsidRDefault="0097544C">
      <w:pPr>
        <w:numPr>
          <w:ilvl w:val="1"/>
          <w:numId w:val="2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ukończyło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szkołę podstawową, </w:t>
      </w:r>
    </w:p>
    <w:p w:rsidR="000F68E1" w:rsidRDefault="0097544C">
      <w:pPr>
        <w:numPr>
          <w:ilvl w:val="1"/>
          <w:numId w:val="2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jest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w stanie utrzymać się samodzielnie. </w:t>
      </w:r>
    </w:p>
    <w:p w:rsidR="000F68E1" w:rsidRDefault="0097544C">
      <w:pPr>
        <w:numPr>
          <w:ilvl w:val="0"/>
          <w:numId w:val="1"/>
        </w:numPr>
        <w:spacing w:after="43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Dla osoby ubezwłasnowolnionej częściowo ustanawia się: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opiekę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kuratelę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doradcę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tymczasowego. </w:t>
      </w:r>
    </w:p>
    <w:p w:rsidR="000F68E1" w:rsidRDefault="0097544C">
      <w:pPr>
        <w:numPr>
          <w:ilvl w:val="0"/>
          <w:numId w:val="1"/>
        </w:numPr>
        <w:spacing w:after="43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Sąd opiekuńczy wszczyna postępowanie o przysposobienie na wniosek: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osoby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mającej być przysposobioną,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przyspasabia</w:t>
      </w:r>
      <w:r>
        <w:rPr>
          <w:rFonts w:ascii="Times New Roman" w:eastAsia="Times New Roman" w:hAnsi="Times New Roman" w:cs="Times New Roman"/>
          <w:sz w:val="24"/>
        </w:rPr>
        <w:t>jącego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 </w:t>
      </w:r>
    </w:p>
    <w:p w:rsidR="000F68E1" w:rsidRDefault="0097544C">
      <w:pPr>
        <w:numPr>
          <w:ilvl w:val="1"/>
          <w:numId w:val="1"/>
        </w:numPr>
        <w:spacing w:after="11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rodzica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osoby mającej być przysposobioną. </w:t>
      </w:r>
    </w:p>
    <w:p w:rsidR="000F68E1" w:rsidRDefault="0097544C">
      <w:pPr>
        <w:spacing w:after="16"/>
        <w:ind w:left="6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68E1" w:rsidRDefault="0097544C">
      <w:pPr>
        <w:spacing w:after="71"/>
        <w:ind w:left="6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68E1" w:rsidRDefault="0097544C">
      <w:pPr>
        <w:numPr>
          <w:ilvl w:val="0"/>
          <w:numId w:val="1"/>
        </w:numPr>
        <w:spacing w:after="43" w:line="271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W  pierwszej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instancji sąd rozpoznaje w składzie jednego sędziego i dwóch ławników sprawy o: </w:t>
      </w:r>
    </w:p>
    <w:p w:rsidR="000F68E1" w:rsidRDefault="0097544C">
      <w:pPr>
        <w:numPr>
          <w:ilvl w:val="1"/>
          <w:numId w:val="1"/>
        </w:numPr>
        <w:spacing w:after="1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ustalenie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miejsca pobytu dziecka, 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przysposobienie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ustalenie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kontaktów rodzica z dzieckiem. </w:t>
      </w:r>
    </w:p>
    <w:p w:rsidR="000F68E1" w:rsidRDefault="0097544C">
      <w:pPr>
        <w:numPr>
          <w:ilvl w:val="0"/>
          <w:numId w:val="1"/>
        </w:numPr>
        <w:spacing w:after="43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Zgodnie z</w:t>
      </w:r>
      <w:r>
        <w:rPr>
          <w:rFonts w:ascii="Times New Roman" w:eastAsia="Times New Roman" w:hAnsi="Times New Roman" w:cs="Times New Roman"/>
          <w:b/>
          <w:sz w:val="24"/>
        </w:rPr>
        <w:t xml:space="preserve"> kodeksem rodzinnym i opiekuńczym skutkiem zawarcia małżeństwa w sferze majątkowej jest: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powstanie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wspólności majątkowej małżeńskiej,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powstanie  rozdzielności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majątkowej,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zawarcie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małżeństwa nie pociąga za sobą skutków majątkowych.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68E1" w:rsidRDefault="0097544C">
      <w:pPr>
        <w:numPr>
          <w:ilvl w:val="0"/>
          <w:numId w:val="1"/>
        </w:numPr>
        <w:spacing w:after="43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Pełnomocnikiem procesowym osoby fizycznej może być jej: </w:t>
      </w:r>
    </w:p>
    <w:p w:rsidR="000F68E1" w:rsidRDefault="0097544C">
      <w:pPr>
        <w:numPr>
          <w:ilvl w:val="1"/>
          <w:numId w:val="1"/>
        </w:numPr>
        <w:spacing w:after="1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wnuk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0F68E1" w:rsidRDefault="0097544C">
      <w:pPr>
        <w:numPr>
          <w:ilvl w:val="1"/>
          <w:numId w:val="1"/>
        </w:numPr>
        <w:spacing w:after="11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ciocia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szwagier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0F68E1" w:rsidRDefault="0097544C">
      <w:pPr>
        <w:numPr>
          <w:ilvl w:val="0"/>
          <w:numId w:val="1"/>
        </w:numPr>
        <w:spacing w:after="7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Od wyroku zaocznego pozwany ma prawo wnieść: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zarzuty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0F68E1" w:rsidRDefault="0097544C">
      <w:pPr>
        <w:numPr>
          <w:ilvl w:val="1"/>
          <w:numId w:val="1"/>
        </w:numPr>
        <w:spacing w:after="12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apelację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sprzeciw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0F68E1" w:rsidRDefault="0097544C">
      <w:pPr>
        <w:numPr>
          <w:ilvl w:val="0"/>
          <w:numId w:val="1"/>
        </w:numPr>
        <w:spacing w:after="43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przepisami ustawy o kosztach sądowych w sprawach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cywilnych  od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wniosku o wydanie odpisu orzeczenia ze stwierdzeniem prawomocności pobiera się opłatę kancelaryjną w kwocie: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6 złotych za każdą rozpoczętą stronę wydanego dokumentu,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6 złotych bez w</w:t>
      </w:r>
      <w:r>
        <w:rPr>
          <w:rFonts w:ascii="Times New Roman" w:eastAsia="Times New Roman" w:hAnsi="Times New Roman" w:cs="Times New Roman"/>
          <w:sz w:val="24"/>
        </w:rPr>
        <w:t xml:space="preserve">zględu na ilość stron wydanego dokumentu, </w:t>
      </w:r>
    </w:p>
    <w:p w:rsidR="000F68E1" w:rsidRDefault="0097544C">
      <w:pPr>
        <w:numPr>
          <w:ilvl w:val="1"/>
          <w:numId w:val="1"/>
        </w:numPr>
        <w:spacing w:after="58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20 złotych za każde rozpoczęte 10 stron wydanego dokumentu. </w:t>
      </w:r>
    </w:p>
    <w:p w:rsidR="000F68E1" w:rsidRDefault="0097544C">
      <w:pPr>
        <w:numPr>
          <w:ilvl w:val="0"/>
          <w:numId w:val="1"/>
        </w:numPr>
        <w:spacing w:after="43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Na podstawie przepisów kodeksu postępowania cywilnego sędzia podlega z mocy samej ustawy wyłączeniu (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iudex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inhabilis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) od rozpoznawania sprawy: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swoje</w:t>
      </w:r>
      <w:r>
        <w:rPr>
          <w:rFonts w:ascii="Times New Roman" w:eastAsia="Times New Roman" w:hAnsi="Times New Roman" w:cs="Times New Roman"/>
          <w:sz w:val="24"/>
        </w:rPr>
        <w:t xml:space="preserve">go wnuka, </w:t>
      </w:r>
    </w:p>
    <w:p w:rsidR="000F68E1" w:rsidRDefault="0097544C">
      <w:pPr>
        <w:numPr>
          <w:ilvl w:val="1"/>
          <w:numId w:val="5"/>
        </w:numPr>
        <w:spacing w:after="58" w:line="269" w:lineRule="auto"/>
        <w:ind w:left="1004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gdzie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pozwanym jest sąd, w którym sędzia sprawuje swój urząd, </w:t>
      </w:r>
    </w:p>
    <w:p w:rsidR="000F68E1" w:rsidRDefault="0097544C">
      <w:pPr>
        <w:numPr>
          <w:ilvl w:val="1"/>
          <w:numId w:val="5"/>
        </w:numPr>
        <w:spacing w:after="58" w:line="269" w:lineRule="auto"/>
        <w:ind w:left="1004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gdy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wydał wyrok w sprawie tych samych stron o podobne roszczenie.  </w:t>
      </w:r>
    </w:p>
    <w:p w:rsidR="000F68E1" w:rsidRDefault="0097544C">
      <w:pPr>
        <w:numPr>
          <w:ilvl w:val="0"/>
          <w:numId w:val="1"/>
        </w:numPr>
        <w:spacing w:after="43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Pisemne uzasadnienie wyroku sporządza się na wniosek strony o doręczenie wyroku z uzasadnieniem zgłoszony w termin</w:t>
      </w:r>
      <w:r>
        <w:rPr>
          <w:rFonts w:ascii="Times New Roman" w:eastAsia="Times New Roman" w:hAnsi="Times New Roman" w:cs="Times New Roman"/>
          <w:b/>
          <w:sz w:val="24"/>
        </w:rPr>
        <w:t xml:space="preserve">ie: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tygodnia od dnia ogłoszenia wyroku, </w:t>
      </w:r>
    </w:p>
    <w:p w:rsidR="000F68E1" w:rsidRDefault="0097544C">
      <w:pPr>
        <w:numPr>
          <w:ilvl w:val="1"/>
          <w:numId w:val="4"/>
        </w:numPr>
        <w:spacing w:after="36" w:line="269" w:lineRule="auto"/>
        <w:ind w:left="1004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dwóch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tygodni od dnia ogłoszenia wyroku, </w:t>
      </w:r>
    </w:p>
    <w:p w:rsidR="000F68E1" w:rsidRDefault="0097544C">
      <w:pPr>
        <w:numPr>
          <w:ilvl w:val="1"/>
          <w:numId w:val="4"/>
        </w:numPr>
        <w:spacing w:after="58" w:line="269" w:lineRule="auto"/>
        <w:ind w:left="1004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tygodnia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od dnia zamknięcia rozprawy.  </w:t>
      </w:r>
    </w:p>
    <w:p w:rsidR="000F68E1" w:rsidRDefault="0097544C">
      <w:pPr>
        <w:numPr>
          <w:ilvl w:val="0"/>
          <w:numId w:val="1"/>
        </w:numPr>
        <w:spacing w:after="35" w:line="280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z  kodeksem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postępowania karnego wniosek o sporządzenie na piśmie i doręczenie uzasadnienia wyroku strona może złożyć w terminie: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14 dni od dnia ogłoszenia wyroku, </w:t>
      </w:r>
    </w:p>
    <w:p w:rsidR="000F68E1" w:rsidRDefault="0097544C">
      <w:pPr>
        <w:numPr>
          <w:ilvl w:val="1"/>
          <w:numId w:val="6"/>
        </w:numPr>
        <w:spacing w:after="58" w:line="269" w:lineRule="auto"/>
        <w:ind w:left="1004" w:hanging="360"/>
      </w:pPr>
      <w:r>
        <w:rPr>
          <w:rFonts w:ascii="Times New Roman" w:eastAsia="Times New Roman" w:hAnsi="Times New Roman" w:cs="Times New Roman"/>
          <w:sz w:val="24"/>
        </w:rPr>
        <w:t xml:space="preserve">7 dni od dnia ogłoszenia wyroku, </w:t>
      </w:r>
    </w:p>
    <w:p w:rsidR="000F68E1" w:rsidRDefault="0097544C">
      <w:pPr>
        <w:numPr>
          <w:ilvl w:val="1"/>
          <w:numId w:val="6"/>
        </w:numPr>
        <w:spacing w:after="58" w:line="269" w:lineRule="auto"/>
        <w:ind w:left="1004" w:hanging="360"/>
      </w:pPr>
      <w:r>
        <w:rPr>
          <w:rFonts w:ascii="Times New Roman" w:eastAsia="Times New Roman" w:hAnsi="Times New Roman" w:cs="Times New Roman"/>
          <w:sz w:val="24"/>
        </w:rPr>
        <w:t xml:space="preserve">21 dni od dnia ogłoszenia wyroku. </w:t>
      </w:r>
    </w:p>
    <w:p w:rsidR="000F68E1" w:rsidRDefault="0097544C">
      <w:pPr>
        <w:numPr>
          <w:ilvl w:val="0"/>
          <w:numId w:val="1"/>
        </w:numPr>
        <w:spacing w:after="4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Zgodnie z kodeksem postępowania</w:t>
      </w:r>
      <w:r>
        <w:rPr>
          <w:rFonts w:ascii="Times New Roman" w:eastAsia="Times New Roman" w:hAnsi="Times New Roman" w:cs="Times New Roman"/>
          <w:b/>
          <w:sz w:val="24"/>
        </w:rPr>
        <w:t xml:space="preserve"> karnego dowody przeprowadza się: </w:t>
      </w:r>
    </w:p>
    <w:p w:rsidR="000F68E1" w:rsidRDefault="0097544C">
      <w:pPr>
        <w:numPr>
          <w:ilvl w:val="1"/>
          <w:numId w:val="1"/>
        </w:numPr>
        <w:spacing w:after="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tylko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z urzędu, </w:t>
      </w:r>
    </w:p>
    <w:p w:rsidR="000F68E1" w:rsidRDefault="0097544C">
      <w:pPr>
        <w:numPr>
          <w:ilvl w:val="1"/>
          <w:numId w:val="1"/>
        </w:numPr>
        <w:spacing w:after="13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tylko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na wniosek stron, </w:t>
      </w:r>
    </w:p>
    <w:p w:rsidR="000F68E1" w:rsidRDefault="0097544C">
      <w:pPr>
        <w:numPr>
          <w:ilvl w:val="1"/>
          <w:numId w:val="1"/>
        </w:numPr>
        <w:spacing w:after="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na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wniosek stron albo z urzędu. </w:t>
      </w:r>
    </w:p>
    <w:p w:rsidR="000F68E1" w:rsidRDefault="0097544C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F68E1" w:rsidRDefault="0097544C">
      <w:pPr>
        <w:numPr>
          <w:ilvl w:val="0"/>
          <w:numId w:val="1"/>
        </w:numPr>
        <w:spacing w:after="11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kodeksem postępowania karnego każdorazowa przerwa w rozprawie może trwać: </w:t>
      </w:r>
    </w:p>
    <w:p w:rsidR="000F68E1" w:rsidRDefault="0097544C">
      <w:pPr>
        <w:numPr>
          <w:ilvl w:val="1"/>
          <w:numId w:val="1"/>
        </w:numPr>
        <w:spacing w:after="1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nie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dłużej niż 35 dni, </w:t>
      </w:r>
    </w:p>
    <w:p w:rsidR="000F68E1" w:rsidRDefault="0097544C">
      <w:pPr>
        <w:numPr>
          <w:ilvl w:val="1"/>
          <w:numId w:val="1"/>
        </w:numPr>
        <w:spacing w:after="9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nie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dłużej niż 42 dni, </w:t>
      </w:r>
    </w:p>
    <w:p w:rsidR="000F68E1" w:rsidRDefault="0097544C">
      <w:pPr>
        <w:numPr>
          <w:ilvl w:val="1"/>
          <w:numId w:val="1"/>
        </w:numPr>
        <w:spacing w:after="4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nie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dłużej niż 21 dni, </w:t>
      </w:r>
    </w:p>
    <w:p w:rsidR="000F68E1" w:rsidRDefault="0097544C">
      <w:pPr>
        <w:numPr>
          <w:ilvl w:val="0"/>
          <w:numId w:val="1"/>
        </w:numPr>
        <w:spacing w:after="0" w:line="280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Zgodnie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z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kodeksem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postępowania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karnego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w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postępowaniu przygotowawczym sąd, stosując tymczasowe aresztowanie, oznacza jego termin na okres nie dłuższy niż: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3 miesiące, </w:t>
      </w:r>
    </w:p>
    <w:p w:rsidR="000F68E1" w:rsidRDefault="0097544C">
      <w:pPr>
        <w:numPr>
          <w:ilvl w:val="1"/>
          <w:numId w:val="3"/>
        </w:numPr>
        <w:spacing w:after="5" w:line="269" w:lineRule="auto"/>
        <w:ind w:left="1004" w:hanging="360"/>
      </w:pPr>
      <w:r>
        <w:rPr>
          <w:rFonts w:ascii="Times New Roman" w:eastAsia="Times New Roman" w:hAnsi="Times New Roman" w:cs="Times New Roman"/>
          <w:sz w:val="24"/>
        </w:rPr>
        <w:t xml:space="preserve">2 miesiące, </w:t>
      </w:r>
    </w:p>
    <w:p w:rsidR="000F68E1" w:rsidRDefault="0097544C">
      <w:pPr>
        <w:numPr>
          <w:ilvl w:val="1"/>
          <w:numId w:val="3"/>
        </w:numPr>
        <w:spacing w:after="58" w:line="269" w:lineRule="auto"/>
        <w:ind w:left="1004" w:hanging="360"/>
      </w:pPr>
      <w:r>
        <w:rPr>
          <w:rFonts w:ascii="Times New Roman" w:eastAsia="Times New Roman" w:hAnsi="Times New Roman" w:cs="Times New Roman"/>
          <w:sz w:val="24"/>
        </w:rPr>
        <w:t xml:space="preserve">1 miesiąc. </w:t>
      </w:r>
    </w:p>
    <w:p w:rsidR="000F68E1" w:rsidRDefault="0097544C">
      <w:pPr>
        <w:numPr>
          <w:ilvl w:val="0"/>
          <w:numId w:val="1"/>
        </w:numPr>
        <w:spacing w:after="2" w:line="271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Zgodnie z kodeksem postępowan</w:t>
      </w:r>
      <w:r>
        <w:rPr>
          <w:rFonts w:ascii="Times New Roman" w:eastAsia="Times New Roman" w:hAnsi="Times New Roman" w:cs="Times New Roman"/>
          <w:b/>
          <w:sz w:val="24"/>
        </w:rPr>
        <w:t xml:space="preserve">ia karnego w celu wydania opinii o stanie zdrowia psychicznego oskarżonego sąd, a w postępowaniu przygotowawczym prokurator, powołuje: </w:t>
      </w:r>
    </w:p>
    <w:p w:rsidR="000F68E1" w:rsidRDefault="0097544C">
      <w:pPr>
        <w:numPr>
          <w:ilvl w:val="0"/>
          <w:numId w:val="7"/>
        </w:numPr>
        <w:spacing w:after="14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jednego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biegłego lekarza psychiatrę, </w:t>
      </w:r>
    </w:p>
    <w:p w:rsidR="000F68E1" w:rsidRDefault="0097544C">
      <w:pPr>
        <w:numPr>
          <w:ilvl w:val="0"/>
          <w:numId w:val="7"/>
        </w:numPr>
        <w:spacing w:after="14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co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najmniej dwóch biegłych lekarzy psychiatrów, </w:t>
      </w:r>
    </w:p>
    <w:p w:rsidR="000F68E1" w:rsidRDefault="0097544C">
      <w:pPr>
        <w:numPr>
          <w:ilvl w:val="0"/>
          <w:numId w:val="7"/>
        </w:numPr>
        <w:spacing w:after="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co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najmniej trzech biegłych lekar</w:t>
      </w:r>
      <w:r>
        <w:rPr>
          <w:rFonts w:ascii="Times New Roman" w:eastAsia="Times New Roman" w:hAnsi="Times New Roman" w:cs="Times New Roman"/>
          <w:sz w:val="24"/>
        </w:rPr>
        <w:t xml:space="preserve">zy psychiatrów. </w:t>
      </w:r>
    </w:p>
    <w:p w:rsidR="000F68E1" w:rsidRDefault="0097544C">
      <w:pPr>
        <w:numPr>
          <w:ilvl w:val="0"/>
          <w:numId w:val="8"/>
        </w:numPr>
        <w:spacing w:after="0" w:line="271" w:lineRule="auto"/>
        <w:ind w:left="989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kodeksem postępowania karnego jeżeli w toku rozprawy okaże się, że nie wychodząc poza granice oskarżenia można czyn zakwalifikować według innego przepisu prawnego: </w:t>
      </w:r>
    </w:p>
    <w:p w:rsidR="000F68E1" w:rsidRDefault="0097544C">
      <w:pPr>
        <w:numPr>
          <w:ilvl w:val="1"/>
          <w:numId w:val="10"/>
        </w:numPr>
        <w:spacing w:after="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sąd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może uprzedzić o tym obecne na rozprawie strony, </w:t>
      </w:r>
    </w:p>
    <w:p w:rsidR="000F68E1" w:rsidRDefault="0097544C">
      <w:pPr>
        <w:numPr>
          <w:ilvl w:val="1"/>
          <w:numId w:val="10"/>
        </w:numPr>
        <w:spacing w:after="14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sąd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uprzedza o tym obecne na rozprawie strony, </w:t>
      </w:r>
    </w:p>
    <w:p w:rsidR="000F68E1" w:rsidRDefault="0097544C">
      <w:pPr>
        <w:numPr>
          <w:ilvl w:val="1"/>
          <w:numId w:val="10"/>
        </w:numPr>
        <w:spacing w:after="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sąd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nie uprzedza o tym obecnych na rozprawie stron. </w:t>
      </w:r>
    </w:p>
    <w:p w:rsidR="000F68E1" w:rsidRDefault="0097544C">
      <w:pPr>
        <w:numPr>
          <w:ilvl w:val="0"/>
          <w:numId w:val="8"/>
        </w:numPr>
        <w:spacing w:after="13" w:line="271" w:lineRule="auto"/>
        <w:ind w:left="989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Zgodnie z kodeksem postępowania karnego od wyroku sądu odwoławczego uchylającego wyrok sądu pierwszej instancji i przekazującego sprawę do ponownego rozpoz</w:t>
      </w:r>
      <w:r>
        <w:rPr>
          <w:rFonts w:ascii="Times New Roman" w:eastAsia="Times New Roman" w:hAnsi="Times New Roman" w:cs="Times New Roman"/>
          <w:b/>
          <w:sz w:val="24"/>
        </w:rPr>
        <w:t xml:space="preserve">nania stronom przysługuje skarga do: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Rzecznika Praw Obywatelskich, </w:t>
      </w:r>
    </w:p>
    <w:p w:rsidR="000F68E1" w:rsidRDefault="0097544C">
      <w:pPr>
        <w:numPr>
          <w:ilvl w:val="1"/>
          <w:numId w:val="8"/>
        </w:numPr>
        <w:spacing w:after="1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innego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równoważnego składu sądu odwoławczego, </w:t>
      </w:r>
    </w:p>
    <w:p w:rsidR="000F68E1" w:rsidRDefault="0097544C">
      <w:pPr>
        <w:numPr>
          <w:ilvl w:val="1"/>
          <w:numId w:val="8"/>
        </w:numPr>
        <w:spacing w:after="0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Sądu Najwyższego. </w:t>
      </w:r>
    </w:p>
    <w:p w:rsidR="000F68E1" w:rsidRDefault="0097544C">
      <w:pPr>
        <w:numPr>
          <w:ilvl w:val="0"/>
          <w:numId w:val="8"/>
        </w:numPr>
        <w:spacing w:after="0" w:line="271" w:lineRule="auto"/>
        <w:ind w:left="989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kodeksem karnym </w:t>
      </w:r>
      <w:r>
        <w:rPr>
          <w:rFonts w:ascii="Times New Roman" w:eastAsia="Times New Roman" w:hAnsi="Times New Roman" w:cs="Times New Roman"/>
          <w:b/>
          <w:sz w:val="24"/>
        </w:rPr>
        <w:t xml:space="preserve">w wypadku zawieszenia wykonania kary wobec sprawcy młodocianego oraz sprawcy, który popełnił przestępstwo z użyciem przemocy na szkodę osoby wspólnie zamieszkującej, okres próby wynosi: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od roku do 3 lat, </w:t>
      </w:r>
    </w:p>
    <w:p w:rsidR="000F68E1" w:rsidRDefault="0097544C">
      <w:pPr>
        <w:numPr>
          <w:ilvl w:val="1"/>
          <w:numId w:val="8"/>
        </w:numPr>
        <w:spacing w:after="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od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 do 3 lat, </w:t>
      </w:r>
    </w:p>
    <w:p w:rsidR="000F68E1" w:rsidRDefault="0097544C">
      <w:pPr>
        <w:numPr>
          <w:ilvl w:val="1"/>
          <w:numId w:val="8"/>
        </w:numPr>
        <w:spacing w:after="2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od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 do 5 lat. </w:t>
      </w:r>
    </w:p>
    <w:p w:rsidR="000F68E1" w:rsidRDefault="0097544C">
      <w:pPr>
        <w:numPr>
          <w:ilvl w:val="0"/>
          <w:numId w:val="8"/>
        </w:numPr>
        <w:spacing w:after="10" w:line="271" w:lineRule="auto"/>
        <w:ind w:left="989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Zgodnie z kodeks</w:t>
      </w:r>
      <w:r>
        <w:rPr>
          <w:rFonts w:ascii="Times New Roman" w:eastAsia="Times New Roman" w:hAnsi="Times New Roman" w:cs="Times New Roman"/>
          <w:b/>
          <w:sz w:val="24"/>
        </w:rPr>
        <w:t xml:space="preserve">em karnym stan nietrzeźwości w rozumieniu tego kodeksu zachodzi gdy zawartość alkoholu we krwi: </w:t>
      </w:r>
    </w:p>
    <w:p w:rsidR="000F68E1" w:rsidRDefault="0097544C">
      <w:pPr>
        <w:numPr>
          <w:ilvl w:val="1"/>
          <w:numId w:val="9"/>
        </w:numPr>
        <w:spacing w:after="15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przekracza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0,5 promila albo prowadzi do stężenia przekraczającego tę wartość, </w:t>
      </w:r>
    </w:p>
    <w:p w:rsidR="000F68E1" w:rsidRDefault="0097544C">
      <w:pPr>
        <w:numPr>
          <w:ilvl w:val="1"/>
          <w:numId w:val="9"/>
        </w:numPr>
        <w:spacing w:after="9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przekracza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0,7 promila albo prowadzi do stężenia przekraczającego tę wartość, </w:t>
      </w:r>
    </w:p>
    <w:p w:rsidR="000F68E1" w:rsidRDefault="0097544C">
      <w:pPr>
        <w:numPr>
          <w:ilvl w:val="1"/>
          <w:numId w:val="9"/>
        </w:numPr>
        <w:spacing w:after="2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przekracza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 promil albo prowadzi do stężenia przekraczającego tę wartość. </w:t>
      </w:r>
    </w:p>
    <w:p w:rsidR="000F68E1" w:rsidRDefault="0097544C">
      <w:pPr>
        <w:numPr>
          <w:ilvl w:val="0"/>
          <w:numId w:val="8"/>
        </w:numPr>
        <w:spacing w:after="0" w:line="271" w:lineRule="auto"/>
        <w:ind w:left="989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kodeksem karnym nie stanowi przestępstwa czyn zabroniony, którego społeczna szkodliwość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jest:  </w:t>
      </w:r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niewielka, </w:t>
      </w:r>
    </w:p>
    <w:p w:rsidR="000F68E1" w:rsidRDefault="0097544C">
      <w:pPr>
        <w:numPr>
          <w:ilvl w:val="1"/>
          <w:numId w:val="8"/>
        </w:numPr>
        <w:spacing w:after="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nieznaczna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0F68E1" w:rsidRDefault="0097544C">
      <w:pPr>
        <w:numPr>
          <w:ilvl w:val="1"/>
          <w:numId w:val="8"/>
        </w:numPr>
        <w:spacing w:after="2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znikoma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0F68E1" w:rsidRDefault="0097544C">
      <w:pPr>
        <w:numPr>
          <w:ilvl w:val="0"/>
          <w:numId w:val="8"/>
        </w:numPr>
        <w:spacing w:after="11" w:line="271" w:lineRule="auto"/>
        <w:ind w:left="989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Zgodnie z kodeksem karnym jeżeli w cz</w:t>
      </w:r>
      <w:r>
        <w:rPr>
          <w:rFonts w:ascii="Times New Roman" w:eastAsia="Times New Roman" w:hAnsi="Times New Roman" w:cs="Times New Roman"/>
          <w:b/>
          <w:sz w:val="24"/>
        </w:rPr>
        <w:t xml:space="preserve">asie orzekania obowiązuje ustawa inna niż w czasie popełnienia przestępstwa: </w:t>
      </w:r>
    </w:p>
    <w:p w:rsidR="000F68E1" w:rsidRDefault="0097544C">
      <w:pPr>
        <w:numPr>
          <w:ilvl w:val="1"/>
          <w:numId w:val="11"/>
        </w:numPr>
        <w:spacing w:after="15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stosuje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się wyłącznie ustawę obowiązującą w czasie popełnienia czynu, </w:t>
      </w:r>
    </w:p>
    <w:p w:rsidR="000F68E1" w:rsidRDefault="0097544C">
      <w:pPr>
        <w:numPr>
          <w:ilvl w:val="1"/>
          <w:numId w:val="11"/>
        </w:numPr>
        <w:spacing w:after="9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stosuje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się ustawę nową, jednakże należy stosować ustawę obowiązującą poprzednio, jeżeli jest względniejsza</w:t>
      </w:r>
      <w:r>
        <w:rPr>
          <w:rFonts w:ascii="Times New Roman" w:eastAsia="Times New Roman" w:hAnsi="Times New Roman" w:cs="Times New Roman"/>
          <w:sz w:val="24"/>
        </w:rPr>
        <w:t xml:space="preserve"> dla sprawcy, </w:t>
      </w:r>
    </w:p>
    <w:p w:rsidR="000F68E1" w:rsidRDefault="0097544C">
      <w:pPr>
        <w:numPr>
          <w:ilvl w:val="1"/>
          <w:numId w:val="11"/>
        </w:numPr>
        <w:spacing w:after="1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stosuje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się wyłącznie nową ustawę. </w:t>
      </w:r>
    </w:p>
    <w:p w:rsidR="000F68E1" w:rsidRDefault="0097544C">
      <w:pPr>
        <w:numPr>
          <w:ilvl w:val="0"/>
          <w:numId w:val="8"/>
        </w:numPr>
        <w:spacing w:after="0" w:line="280" w:lineRule="auto"/>
        <w:ind w:left="989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Zgodnie z kodeksem karnym jeżeli ustawa nie stanowi inaczej, kara ograniczenia wolności trwa najdłużej: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rok i dwanaście miesięcy, </w:t>
      </w:r>
    </w:p>
    <w:p w:rsidR="000F68E1" w:rsidRDefault="0097544C">
      <w:pPr>
        <w:numPr>
          <w:ilvl w:val="1"/>
          <w:numId w:val="8"/>
        </w:numPr>
        <w:spacing w:after="11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dwa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lata, </w:t>
      </w:r>
    </w:p>
    <w:p w:rsidR="000F68E1" w:rsidRDefault="0097544C">
      <w:pPr>
        <w:numPr>
          <w:ilvl w:val="1"/>
          <w:numId w:val="8"/>
        </w:numPr>
        <w:spacing w:after="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dwadzieścia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miesięcy. </w:t>
      </w:r>
    </w:p>
    <w:p w:rsidR="000F68E1" w:rsidRDefault="0097544C">
      <w:pPr>
        <w:numPr>
          <w:ilvl w:val="0"/>
          <w:numId w:val="8"/>
        </w:numPr>
        <w:spacing w:after="43" w:line="271" w:lineRule="auto"/>
        <w:ind w:left="989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Kodeksem cywilnym,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posiadaczem  samoistnym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jest ten, kto rzeczą faktycznie włada: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jak właściciel,  </w:t>
      </w:r>
    </w:p>
    <w:p w:rsidR="000F68E1" w:rsidRDefault="0097544C">
      <w:pPr>
        <w:numPr>
          <w:ilvl w:val="1"/>
          <w:numId w:val="8"/>
        </w:numPr>
        <w:spacing w:after="1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jak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użytkownik, zastawnik, najemca, dzierżawca lub mający inne prawo, z którym łączy się określone władztwo nad cudzą rzeczą, </w:t>
      </w:r>
    </w:p>
    <w:p w:rsidR="000F68E1" w:rsidRDefault="0097544C">
      <w:pPr>
        <w:numPr>
          <w:ilvl w:val="1"/>
          <w:numId w:val="8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za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kogo innego.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F68E1" w:rsidRDefault="0097544C">
      <w:pPr>
        <w:numPr>
          <w:ilvl w:val="0"/>
          <w:numId w:val="8"/>
        </w:numPr>
        <w:spacing w:after="43" w:line="271" w:lineRule="auto"/>
        <w:ind w:left="989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Kodeksem postępowania cywilnego do właściwości rzeczowej jakiego sądu, należą sprawy o ustanowienie rozdzielności majątkowej między małżonkami, gdy wartość przedmiotu sporu przekracza 100.000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zł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sądu rejonowego, </w:t>
      </w:r>
    </w:p>
    <w:p w:rsidR="000F68E1" w:rsidRDefault="0097544C">
      <w:pPr>
        <w:numPr>
          <w:ilvl w:val="1"/>
          <w:numId w:val="8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sądu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okręgowego, </w:t>
      </w:r>
    </w:p>
    <w:p w:rsidR="000F68E1" w:rsidRDefault="0097544C">
      <w:pPr>
        <w:numPr>
          <w:ilvl w:val="1"/>
          <w:numId w:val="8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sądu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apel</w:t>
      </w:r>
      <w:r>
        <w:rPr>
          <w:rFonts w:ascii="Times New Roman" w:eastAsia="Times New Roman" w:hAnsi="Times New Roman" w:cs="Times New Roman"/>
          <w:sz w:val="24"/>
        </w:rPr>
        <w:t xml:space="preserve">acyjnego. </w:t>
      </w:r>
    </w:p>
    <w:p w:rsidR="000F68E1" w:rsidRDefault="0097544C">
      <w:pPr>
        <w:numPr>
          <w:ilvl w:val="0"/>
          <w:numId w:val="8"/>
        </w:numPr>
        <w:spacing w:after="43" w:line="271" w:lineRule="auto"/>
        <w:ind w:left="989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Według kodeksu cywilnego z upływem jakiego okresu przedawniają się roszczenia uprawnionego z tytułu zachowku: </w:t>
      </w:r>
    </w:p>
    <w:p w:rsidR="000F68E1" w:rsidRDefault="0097544C">
      <w:pPr>
        <w:numPr>
          <w:ilvl w:val="0"/>
          <w:numId w:val="12"/>
        </w:numPr>
        <w:spacing w:after="58" w:line="269" w:lineRule="auto"/>
        <w:ind w:hanging="282"/>
      </w:pPr>
      <w:proofErr w:type="gramStart"/>
      <w:r>
        <w:rPr>
          <w:rFonts w:ascii="Times New Roman" w:eastAsia="Times New Roman" w:hAnsi="Times New Roman" w:cs="Times New Roman"/>
          <w:sz w:val="24"/>
        </w:rPr>
        <w:t>z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upływem trzech lat od dnia otwarcia spadku, </w:t>
      </w:r>
    </w:p>
    <w:p w:rsidR="000F68E1" w:rsidRDefault="0097544C">
      <w:pPr>
        <w:numPr>
          <w:ilvl w:val="0"/>
          <w:numId w:val="12"/>
        </w:numPr>
        <w:spacing w:after="58" w:line="269" w:lineRule="auto"/>
        <w:ind w:hanging="282"/>
      </w:pPr>
      <w:proofErr w:type="gramStart"/>
      <w:r>
        <w:rPr>
          <w:rFonts w:ascii="Times New Roman" w:eastAsia="Times New Roman" w:hAnsi="Times New Roman" w:cs="Times New Roman"/>
          <w:sz w:val="24"/>
        </w:rPr>
        <w:t>z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upływem dziesięciu lat od dnia, gdy roszczenie stało się wymagalne, </w:t>
      </w:r>
    </w:p>
    <w:p w:rsidR="000F68E1" w:rsidRDefault="0097544C">
      <w:pPr>
        <w:numPr>
          <w:ilvl w:val="0"/>
          <w:numId w:val="12"/>
        </w:numPr>
        <w:spacing w:after="28" w:line="269" w:lineRule="auto"/>
        <w:ind w:hanging="282"/>
      </w:pPr>
      <w:proofErr w:type="gramStart"/>
      <w:r>
        <w:rPr>
          <w:rFonts w:ascii="Times New Roman" w:eastAsia="Times New Roman" w:hAnsi="Times New Roman" w:cs="Times New Roman"/>
          <w:sz w:val="24"/>
        </w:rPr>
        <w:t>z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upływem pięciu</w:t>
      </w:r>
      <w:r>
        <w:rPr>
          <w:rFonts w:ascii="Times New Roman" w:eastAsia="Times New Roman" w:hAnsi="Times New Roman" w:cs="Times New Roman"/>
          <w:sz w:val="24"/>
        </w:rPr>
        <w:t xml:space="preserve"> lat od dnia ogłoszenia testamentu. </w:t>
      </w:r>
    </w:p>
    <w:p w:rsidR="000F68E1" w:rsidRDefault="0097544C">
      <w:pPr>
        <w:numPr>
          <w:ilvl w:val="0"/>
          <w:numId w:val="13"/>
        </w:numPr>
        <w:spacing w:after="43" w:line="271" w:lineRule="auto"/>
        <w:ind w:right="138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Kodeksem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cywilnym  spadkobierca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może  odrzucić spadek: </w:t>
      </w:r>
    </w:p>
    <w:p w:rsidR="000F68E1" w:rsidRDefault="0097544C">
      <w:pPr>
        <w:numPr>
          <w:ilvl w:val="1"/>
          <w:numId w:val="13"/>
        </w:numPr>
        <w:spacing w:after="58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w ciągu sześciu miesięcy od dnia, w którym spadkobierca dowiedział się o </w:t>
      </w:r>
      <w:proofErr w:type="gramStart"/>
      <w:r>
        <w:rPr>
          <w:rFonts w:ascii="Times New Roman" w:eastAsia="Times New Roman" w:hAnsi="Times New Roman" w:cs="Times New Roman"/>
          <w:sz w:val="24"/>
        </w:rPr>
        <w:t>tytule  swojego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powołania, </w:t>
      </w:r>
    </w:p>
    <w:p w:rsidR="000F68E1" w:rsidRDefault="0097544C">
      <w:pPr>
        <w:numPr>
          <w:ilvl w:val="1"/>
          <w:numId w:val="13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nie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może odrzucić, </w:t>
      </w:r>
    </w:p>
    <w:p w:rsidR="000F68E1" w:rsidRDefault="0097544C">
      <w:pPr>
        <w:numPr>
          <w:ilvl w:val="1"/>
          <w:numId w:val="13"/>
        </w:numPr>
        <w:spacing w:after="58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w ciągu jednego roku od dnia, w którym spadkobierca dowiedział się o </w:t>
      </w:r>
      <w:proofErr w:type="gramStart"/>
      <w:r>
        <w:rPr>
          <w:rFonts w:ascii="Times New Roman" w:eastAsia="Times New Roman" w:hAnsi="Times New Roman" w:cs="Times New Roman"/>
          <w:sz w:val="24"/>
        </w:rPr>
        <w:t>tytule  swojego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powołania. </w:t>
      </w:r>
    </w:p>
    <w:p w:rsidR="000F68E1" w:rsidRDefault="0097544C">
      <w:pPr>
        <w:numPr>
          <w:ilvl w:val="0"/>
          <w:numId w:val="13"/>
        </w:numPr>
        <w:spacing w:after="43" w:line="271" w:lineRule="auto"/>
        <w:ind w:right="138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Uprawnienie do uchylenia się od skutków prawnych oświadczenia woli, które zostało złożone innej osobie pod wpływem błędu, który wywołała druga strona podstępni</w:t>
      </w:r>
      <w:r>
        <w:rPr>
          <w:rFonts w:ascii="Times New Roman" w:eastAsia="Times New Roman" w:hAnsi="Times New Roman" w:cs="Times New Roman"/>
          <w:b/>
          <w:sz w:val="24"/>
        </w:rPr>
        <w:t xml:space="preserve">e wygasa: </w:t>
      </w:r>
    </w:p>
    <w:p w:rsidR="000F68E1" w:rsidRDefault="0097544C">
      <w:pPr>
        <w:numPr>
          <w:ilvl w:val="1"/>
          <w:numId w:val="13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z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upływem roku od chwili, kiedy złożone zostało oświadczenie woli, </w:t>
      </w:r>
    </w:p>
    <w:p w:rsidR="000F68E1" w:rsidRDefault="0097544C">
      <w:pPr>
        <w:numPr>
          <w:ilvl w:val="1"/>
          <w:numId w:val="13"/>
        </w:numPr>
        <w:spacing w:after="1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z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upływem roku od chwili wykrycia błędu, </w:t>
      </w:r>
    </w:p>
    <w:p w:rsidR="000F68E1" w:rsidRDefault="0097544C">
      <w:pPr>
        <w:numPr>
          <w:ilvl w:val="1"/>
          <w:numId w:val="13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nie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jest ograniczone terminem. </w:t>
      </w:r>
    </w:p>
    <w:p w:rsidR="000F68E1" w:rsidRDefault="0097544C">
      <w:pPr>
        <w:numPr>
          <w:ilvl w:val="0"/>
          <w:numId w:val="13"/>
        </w:numPr>
        <w:spacing w:after="43" w:line="271" w:lineRule="auto"/>
        <w:ind w:right="138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Kodeksem postępowania cywilnego zarządzenie przewodniczącego o zwrocie pozwu:  </w:t>
      </w:r>
    </w:p>
    <w:p w:rsidR="000F68E1" w:rsidRDefault="0097544C">
      <w:pPr>
        <w:numPr>
          <w:ilvl w:val="1"/>
          <w:numId w:val="13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doręcza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się tylko pozwanemu, </w:t>
      </w:r>
    </w:p>
    <w:p w:rsidR="000F68E1" w:rsidRDefault="0097544C">
      <w:pPr>
        <w:numPr>
          <w:ilvl w:val="1"/>
          <w:numId w:val="13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doręcza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się tylko powodowi, </w:t>
      </w:r>
    </w:p>
    <w:p w:rsidR="000F68E1" w:rsidRDefault="0097544C">
      <w:pPr>
        <w:numPr>
          <w:ilvl w:val="1"/>
          <w:numId w:val="13"/>
        </w:numPr>
        <w:spacing w:after="13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nie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doręcza się żadnej ze stron. </w:t>
      </w:r>
    </w:p>
    <w:p w:rsidR="000F68E1" w:rsidRDefault="0097544C">
      <w:pPr>
        <w:numPr>
          <w:ilvl w:val="0"/>
          <w:numId w:val="13"/>
        </w:numPr>
        <w:spacing w:after="43" w:line="271" w:lineRule="auto"/>
        <w:ind w:right="138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Spadkobierca nabywa spadek: </w:t>
      </w:r>
    </w:p>
    <w:p w:rsidR="000F68E1" w:rsidRDefault="0097544C">
      <w:pPr>
        <w:numPr>
          <w:ilvl w:val="1"/>
          <w:numId w:val="13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z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chwilą otwarcia spadku, </w:t>
      </w:r>
    </w:p>
    <w:p w:rsidR="000F68E1" w:rsidRDefault="0097544C">
      <w:pPr>
        <w:numPr>
          <w:ilvl w:val="1"/>
          <w:numId w:val="13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z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chwilą złożenia oświadczenia o przyjęciu spadku,   </w:t>
      </w:r>
    </w:p>
    <w:p w:rsidR="000F68E1" w:rsidRDefault="0097544C">
      <w:pPr>
        <w:numPr>
          <w:ilvl w:val="1"/>
          <w:numId w:val="13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z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chwilą uprawomocnienia się postanowienia właściwego</w:t>
      </w:r>
      <w:r>
        <w:rPr>
          <w:rFonts w:ascii="Times New Roman" w:eastAsia="Times New Roman" w:hAnsi="Times New Roman" w:cs="Times New Roman"/>
          <w:sz w:val="24"/>
        </w:rPr>
        <w:t xml:space="preserve"> Sądu w przedmiocie stwierdzenia nabycia spadku. </w:t>
      </w:r>
    </w:p>
    <w:p w:rsidR="000F68E1" w:rsidRDefault="0097544C">
      <w:pPr>
        <w:numPr>
          <w:ilvl w:val="0"/>
          <w:numId w:val="13"/>
        </w:numPr>
        <w:spacing w:after="43" w:line="271" w:lineRule="auto"/>
        <w:ind w:right="138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W postępowaniu cywilnym wynagrodzenie mediatora i zwrot jego wydatków: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obciążają strony, </w:t>
      </w:r>
    </w:p>
    <w:p w:rsidR="000F68E1" w:rsidRDefault="0097544C">
      <w:pPr>
        <w:numPr>
          <w:ilvl w:val="0"/>
          <w:numId w:val="14"/>
        </w:numPr>
        <w:spacing w:after="58" w:line="269" w:lineRule="auto"/>
        <w:ind w:hanging="348"/>
      </w:pPr>
      <w:proofErr w:type="gramStart"/>
      <w:r>
        <w:rPr>
          <w:rFonts w:ascii="Times New Roman" w:eastAsia="Times New Roman" w:hAnsi="Times New Roman" w:cs="Times New Roman"/>
          <w:sz w:val="24"/>
        </w:rPr>
        <w:t>obciążają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Skarb Państwa, </w:t>
      </w:r>
    </w:p>
    <w:p w:rsidR="000F68E1" w:rsidRDefault="0097544C">
      <w:pPr>
        <w:numPr>
          <w:ilvl w:val="0"/>
          <w:numId w:val="14"/>
        </w:numPr>
        <w:spacing w:after="58" w:line="269" w:lineRule="auto"/>
        <w:ind w:hanging="348"/>
      </w:pPr>
      <w:proofErr w:type="gramStart"/>
      <w:r>
        <w:rPr>
          <w:rFonts w:ascii="Times New Roman" w:eastAsia="Times New Roman" w:hAnsi="Times New Roman" w:cs="Times New Roman"/>
          <w:sz w:val="24"/>
        </w:rPr>
        <w:t>obciążają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mediatora. </w:t>
      </w:r>
    </w:p>
    <w:p w:rsidR="000F68E1" w:rsidRDefault="0097544C">
      <w:pPr>
        <w:spacing w:after="0" w:line="323" w:lineRule="auto"/>
        <w:ind w:left="796" w:hanging="370"/>
        <w:jc w:val="both"/>
      </w:pPr>
      <w:r>
        <w:rPr>
          <w:rFonts w:ascii="Times New Roman" w:eastAsia="Times New Roman" w:hAnsi="Times New Roman" w:cs="Times New Roman"/>
          <w:b/>
          <w:sz w:val="24"/>
        </w:rPr>
        <w:t>32.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Zgodnie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z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Kodeksem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postępowania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cywilnego,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zażalenie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na postanowienie sądu pierwszej instancji, wniesione po terminie: </w:t>
      </w:r>
    </w:p>
    <w:p w:rsidR="000F68E1" w:rsidRDefault="0097544C">
      <w:pPr>
        <w:numPr>
          <w:ilvl w:val="0"/>
          <w:numId w:val="15"/>
        </w:numPr>
        <w:spacing w:after="58" w:line="269" w:lineRule="auto"/>
        <w:ind w:hanging="359"/>
      </w:pPr>
      <w:proofErr w:type="gramStart"/>
      <w:r>
        <w:rPr>
          <w:rFonts w:ascii="Times New Roman" w:eastAsia="Times New Roman" w:hAnsi="Times New Roman" w:cs="Times New Roman"/>
          <w:sz w:val="24"/>
        </w:rPr>
        <w:t>odsyła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się, </w:t>
      </w:r>
    </w:p>
    <w:p w:rsidR="000F68E1" w:rsidRDefault="0097544C">
      <w:pPr>
        <w:numPr>
          <w:ilvl w:val="0"/>
          <w:numId w:val="15"/>
        </w:numPr>
        <w:spacing w:after="58" w:line="269" w:lineRule="auto"/>
        <w:ind w:hanging="359"/>
      </w:pPr>
      <w:proofErr w:type="gramStart"/>
      <w:r>
        <w:rPr>
          <w:rFonts w:ascii="Times New Roman" w:eastAsia="Times New Roman" w:hAnsi="Times New Roman" w:cs="Times New Roman"/>
          <w:sz w:val="24"/>
        </w:rPr>
        <w:t>pozostawia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się w aktach bez żadnych czynności, </w:t>
      </w:r>
    </w:p>
    <w:p w:rsidR="000F68E1" w:rsidRDefault="0097544C">
      <w:pPr>
        <w:numPr>
          <w:ilvl w:val="0"/>
          <w:numId w:val="15"/>
        </w:numPr>
        <w:spacing w:after="58" w:line="269" w:lineRule="auto"/>
        <w:ind w:hanging="359"/>
      </w:pPr>
      <w:proofErr w:type="gramStart"/>
      <w:r>
        <w:rPr>
          <w:rFonts w:ascii="Times New Roman" w:eastAsia="Times New Roman" w:hAnsi="Times New Roman" w:cs="Times New Roman"/>
          <w:sz w:val="24"/>
        </w:rPr>
        <w:t>odrzuca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się. </w:t>
      </w:r>
    </w:p>
    <w:p w:rsidR="000F68E1" w:rsidRDefault="0097544C">
      <w:pPr>
        <w:numPr>
          <w:ilvl w:val="1"/>
          <w:numId w:val="15"/>
        </w:numPr>
        <w:spacing w:after="43" w:line="271" w:lineRule="auto"/>
        <w:ind w:left="1115" w:hanging="486"/>
        <w:jc w:val="both"/>
      </w:pPr>
      <w:r>
        <w:rPr>
          <w:rFonts w:ascii="Times New Roman" w:eastAsia="Times New Roman" w:hAnsi="Times New Roman" w:cs="Times New Roman"/>
          <w:b/>
          <w:sz w:val="24"/>
        </w:rPr>
        <w:t>Zgodnie z Kodeksem postępowania cywilnego opłatę od poz</w:t>
      </w:r>
      <w:r>
        <w:rPr>
          <w:rFonts w:ascii="Times New Roman" w:eastAsia="Times New Roman" w:hAnsi="Times New Roman" w:cs="Times New Roman"/>
          <w:b/>
          <w:sz w:val="24"/>
        </w:rPr>
        <w:t xml:space="preserve">wu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powód  powinien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uiścić: </w:t>
      </w:r>
    </w:p>
    <w:p w:rsidR="000F68E1" w:rsidRDefault="0097544C">
      <w:pPr>
        <w:numPr>
          <w:ilvl w:val="1"/>
          <w:numId w:val="16"/>
        </w:numPr>
        <w:spacing w:after="10" w:line="269" w:lineRule="auto"/>
        <w:ind w:left="1069" w:hanging="349"/>
      </w:pPr>
      <w:proofErr w:type="gramStart"/>
      <w:r>
        <w:rPr>
          <w:rFonts w:ascii="Times New Roman" w:eastAsia="Times New Roman" w:hAnsi="Times New Roman" w:cs="Times New Roman"/>
          <w:sz w:val="24"/>
        </w:rPr>
        <w:t>razem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z wniesieniem pozwu, </w:t>
      </w:r>
    </w:p>
    <w:p w:rsidR="000F68E1" w:rsidRDefault="0097544C">
      <w:pPr>
        <w:numPr>
          <w:ilvl w:val="1"/>
          <w:numId w:val="16"/>
        </w:numPr>
        <w:spacing w:after="58" w:line="269" w:lineRule="auto"/>
        <w:ind w:left="1069" w:hanging="349"/>
      </w:pPr>
      <w:proofErr w:type="gramStart"/>
      <w:r>
        <w:rPr>
          <w:rFonts w:ascii="Times New Roman" w:eastAsia="Times New Roman" w:hAnsi="Times New Roman" w:cs="Times New Roman"/>
          <w:sz w:val="24"/>
        </w:rPr>
        <w:t>zaraz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po wydaniu wyroku, </w:t>
      </w:r>
    </w:p>
    <w:p w:rsidR="000F68E1" w:rsidRDefault="0097544C">
      <w:pPr>
        <w:numPr>
          <w:ilvl w:val="1"/>
          <w:numId w:val="16"/>
        </w:numPr>
        <w:spacing w:after="58" w:line="269" w:lineRule="auto"/>
        <w:ind w:left="1069" w:hanging="349"/>
      </w:pPr>
      <w:proofErr w:type="gramStart"/>
      <w:r>
        <w:rPr>
          <w:rFonts w:ascii="Times New Roman" w:eastAsia="Times New Roman" w:hAnsi="Times New Roman" w:cs="Times New Roman"/>
          <w:sz w:val="24"/>
        </w:rPr>
        <w:t>po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zaskarżeniu wyroku apelacją. </w:t>
      </w:r>
    </w:p>
    <w:p w:rsidR="000F68E1" w:rsidRDefault="0097544C">
      <w:pPr>
        <w:numPr>
          <w:ilvl w:val="1"/>
          <w:numId w:val="15"/>
        </w:numPr>
        <w:spacing w:after="43" w:line="271" w:lineRule="auto"/>
        <w:ind w:left="1115" w:hanging="486"/>
        <w:jc w:val="both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Zgodnie  z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Kodeksem  postępowania cywilnego od wydanego nakazu zapłaty w postępowaniu upominawczym przysługuje: </w:t>
      </w:r>
    </w:p>
    <w:p w:rsidR="000F68E1" w:rsidRDefault="0097544C">
      <w:pPr>
        <w:numPr>
          <w:ilvl w:val="2"/>
          <w:numId w:val="15"/>
        </w:numPr>
        <w:spacing w:after="11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sprzeciw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</w:p>
    <w:p w:rsidR="000F68E1" w:rsidRDefault="0097544C">
      <w:pPr>
        <w:numPr>
          <w:ilvl w:val="2"/>
          <w:numId w:val="15"/>
        </w:numPr>
        <w:spacing w:after="1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apelacja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0F68E1" w:rsidRDefault="0097544C">
      <w:pPr>
        <w:numPr>
          <w:ilvl w:val="2"/>
          <w:numId w:val="15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zarzu</w:t>
      </w:r>
      <w:r>
        <w:rPr>
          <w:rFonts w:ascii="Times New Roman" w:eastAsia="Times New Roman" w:hAnsi="Times New Roman" w:cs="Times New Roman"/>
          <w:sz w:val="24"/>
        </w:rPr>
        <w:t>ty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0F68E1" w:rsidRDefault="0097544C">
      <w:pPr>
        <w:numPr>
          <w:ilvl w:val="1"/>
          <w:numId w:val="15"/>
        </w:numPr>
        <w:spacing w:after="43" w:line="271" w:lineRule="auto"/>
        <w:ind w:left="1115" w:hanging="486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W razie śmierci strony w trakcie postępowania cywilnego, zgodnie z przepisami kodeksu postępowania cywilnego: </w:t>
      </w:r>
    </w:p>
    <w:p w:rsidR="000F68E1" w:rsidRDefault="0097544C">
      <w:pPr>
        <w:numPr>
          <w:ilvl w:val="2"/>
          <w:numId w:val="15"/>
        </w:numPr>
        <w:spacing w:after="58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sąd kontynuuje </w:t>
      </w:r>
      <w:proofErr w:type="gramStart"/>
      <w:r>
        <w:rPr>
          <w:rFonts w:ascii="Times New Roman" w:eastAsia="Times New Roman" w:hAnsi="Times New Roman" w:cs="Times New Roman"/>
          <w:sz w:val="24"/>
        </w:rPr>
        <w:t>postępowanie  z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udziałem pozostałej strony, </w:t>
      </w:r>
    </w:p>
    <w:p w:rsidR="000F68E1" w:rsidRDefault="0097544C">
      <w:pPr>
        <w:numPr>
          <w:ilvl w:val="2"/>
          <w:numId w:val="15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sąd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zawiesza postępowanie z urzędu, </w:t>
      </w:r>
    </w:p>
    <w:p w:rsidR="000F68E1" w:rsidRDefault="0097544C">
      <w:pPr>
        <w:numPr>
          <w:ilvl w:val="2"/>
          <w:numId w:val="15"/>
        </w:numPr>
        <w:spacing w:after="58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sąd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zasięga opinii drugiej strony postępowania i na jej wniosek zawiesza postępowanie w sprawie. </w:t>
      </w:r>
    </w:p>
    <w:p w:rsidR="000F68E1" w:rsidRDefault="0097544C">
      <w:pPr>
        <w:numPr>
          <w:ilvl w:val="1"/>
          <w:numId w:val="15"/>
        </w:numPr>
        <w:spacing w:after="43" w:line="271" w:lineRule="auto"/>
        <w:ind w:left="1115" w:hanging="486"/>
        <w:jc w:val="both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Zgodnie  z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Kodeksem  postępowania  cywilnego  na  czynności  komornika   sądowego   przysługuje: </w:t>
      </w:r>
    </w:p>
    <w:p w:rsidR="000F68E1" w:rsidRDefault="0097544C">
      <w:pPr>
        <w:numPr>
          <w:ilvl w:val="2"/>
          <w:numId w:val="15"/>
        </w:numPr>
        <w:spacing w:after="10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rewizja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0F68E1" w:rsidRDefault="0097544C">
      <w:pPr>
        <w:numPr>
          <w:ilvl w:val="2"/>
          <w:numId w:val="15"/>
        </w:numPr>
        <w:spacing w:after="11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apelacja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0F68E1" w:rsidRDefault="0097544C">
      <w:pPr>
        <w:numPr>
          <w:ilvl w:val="2"/>
          <w:numId w:val="15"/>
        </w:numPr>
        <w:spacing w:after="7" w:line="269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skarga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0F68E1" w:rsidRDefault="0097544C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F68E1" w:rsidRDefault="0097544C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F68E1" w:rsidRDefault="0097544C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F68E1">
      <w:pgSz w:w="11906" w:h="16838"/>
      <w:pgMar w:top="1448" w:right="1439" w:bottom="147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4D47"/>
    <w:multiLevelType w:val="hybridMultilevel"/>
    <w:tmpl w:val="B8BA64F4"/>
    <w:lvl w:ilvl="0" w:tplc="824060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A4B80C">
      <w:start w:val="1"/>
      <w:numFmt w:val="lowerLetter"/>
      <w:lvlText w:val="%2)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2A3E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6128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065BB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862B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2EB4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CCBF9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964C9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620C50"/>
    <w:multiLevelType w:val="hybridMultilevel"/>
    <w:tmpl w:val="015098EA"/>
    <w:lvl w:ilvl="0" w:tplc="C1D83794">
      <w:start w:val="1"/>
      <w:numFmt w:val="lowerLetter"/>
      <w:lvlText w:val="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4ABCB8">
      <w:start w:val="33"/>
      <w:numFmt w:val="decimal"/>
      <w:lvlText w:val="%2."/>
      <w:lvlJc w:val="left"/>
      <w:pPr>
        <w:ind w:left="1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E6450">
      <w:start w:val="1"/>
      <w:numFmt w:val="lowerLetter"/>
      <w:lvlText w:val="%3)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08BB6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400CE2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2FE1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B2E3CE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C66E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8C4C1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D77BCB"/>
    <w:multiLevelType w:val="hybridMultilevel"/>
    <w:tmpl w:val="BEB8116A"/>
    <w:lvl w:ilvl="0" w:tplc="647A2A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B495DE">
      <w:start w:val="2"/>
      <w:numFmt w:val="lowerLetter"/>
      <w:lvlText w:val="%2)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609510">
      <w:start w:val="1"/>
      <w:numFmt w:val="lowerRoman"/>
      <w:lvlText w:val="%3"/>
      <w:lvlJc w:val="left"/>
      <w:pPr>
        <w:ind w:left="1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002A2C">
      <w:start w:val="1"/>
      <w:numFmt w:val="decimal"/>
      <w:lvlText w:val="%4"/>
      <w:lvlJc w:val="left"/>
      <w:pPr>
        <w:ind w:left="2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A0A3CE">
      <w:start w:val="1"/>
      <w:numFmt w:val="lowerLetter"/>
      <w:lvlText w:val="%5"/>
      <w:lvlJc w:val="left"/>
      <w:pPr>
        <w:ind w:left="3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81818">
      <w:start w:val="1"/>
      <w:numFmt w:val="lowerRoman"/>
      <w:lvlText w:val="%6"/>
      <w:lvlJc w:val="left"/>
      <w:pPr>
        <w:ind w:left="3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82380">
      <w:start w:val="1"/>
      <w:numFmt w:val="decimal"/>
      <w:lvlText w:val="%7"/>
      <w:lvlJc w:val="left"/>
      <w:pPr>
        <w:ind w:left="4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081EA">
      <w:start w:val="1"/>
      <w:numFmt w:val="lowerLetter"/>
      <w:lvlText w:val="%8"/>
      <w:lvlJc w:val="left"/>
      <w:pPr>
        <w:ind w:left="5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021CFA">
      <w:start w:val="1"/>
      <w:numFmt w:val="lowerRoman"/>
      <w:lvlText w:val="%9"/>
      <w:lvlJc w:val="left"/>
      <w:pPr>
        <w:ind w:left="6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A66E05"/>
    <w:multiLevelType w:val="hybridMultilevel"/>
    <w:tmpl w:val="20F0F2FA"/>
    <w:lvl w:ilvl="0" w:tplc="007001B0">
      <w:start w:val="1"/>
      <w:numFmt w:val="decimal"/>
      <w:lvlText w:val="%1."/>
      <w:lvlJc w:val="left"/>
      <w:pPr>
        <w:ind w:left="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9661B4">
      <w:start w:val="1"/>
      <w:numFmt w:val="lowerLetter"/>
      <w:lvlText w:val="%2)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60A48">
      <w:start w:val="1"/>
      <w:numFmt w:val="lowerRoman"/>
      <w:lvlText w:val="%3"/>
      <w:lvlJc w:val="left"/>
      <w:pPr>
        <w:ind w:left="1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C12F0">
      <w:start w:val="1"/>
      <w:numFmt w:val="decimal"/>
      <w:lvlText w:val="%4"/>
      <w:lvlJc w:val="left"/>
      <w:pPr>
        <w:ind w:left="2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18F058">
      <w:start w:val="1"/>
      <w:numFmt w:val="lowerLetter"/>
      <w:lvlText w:val="%5"/>
      <w:lvlJc w:val="left"/>
      <w:pPr>
        <w:ind w:left="3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7A2E6C">
      <w:start w:val="1"/>
      <w:numFmt w:val="lowerRoman"/>
      <w:lvlText w:val="%6"/>
      <w:lvlJc w:val="left"/>
      <w:pPr>
        <w:ind w:left="3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AE304">
      <w:start w:val="1"/>
      <w:numFmt w:val="decimal"/>
      <w:lvlText w:val="%7"/>
      <w:lvlJc w:val="left"/>
      <w:pPr>
        <w:ind w:left="4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CEFB4">
      <w:start w:val="1"/>
      <w:numFmt w:val="lowerLetter"/>
      <w:lvlText w:val="%8"/>
      <w:lvlJc w:val="left"/>
      <w:pPr>
        <w:ind w:left="5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06BAFC">
      <w:start w:val="1"/>
      <w:numFmt w:val="lowerRoman"/>
      <w:lvlText w:val="%9"/>
      <w:lvlJc w:val="left"/>
      <w:pPr>
        <w:ind w:left="6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2B05F7"/>
    <w:multiLevelType w:val="hybridMultilevel"/>
    <w:tmpl w:val="E954FCD2"/>
    <w:lvl w:ilvl="0" w:tplc="B61243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1A1212">
      <w:start w:val="2"/>
      <w:numFmt w:val="lowerLetter"/>
      <w:lvlText w:val="%2)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4895DE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70541A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A64EF6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2F600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4C5E0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850D6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8EF04A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F01DC5"/>
    <w:multiLevelType w:val="hybridMultilevel"/>
    <w:tmpl w:val="6B109CF0"/>
    <w:lvl w:ilvl="0" w:tplc="51187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C2A26A">
      <w:start w:val="2"/>
      <w:numFmt w:val="lowerLetter"/>
      <w:lvlText w:val="%2)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A098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CFB64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2EF158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CC22A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CD8FE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D06856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669D2C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5F582E"/>
    <w:multiLevelType w:val="hybridMultilevel"/>
    <w:tmpl w:val="394443D6"/>
    <w:lvl w:ilvl="0" w:tplc="F86624F2">
      <w:start w:val="27"/>
      <w:numFmt w:val="decimal"/>
      <w:lvlText w:val="%1."/>
      <w:lvlJc w:val="left"/>
      <w:pPr>
        <w:ind w:left="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6C23F2">
      <w:start w:val="1"/>
      <w:numFmt w:val="lowerLetter"/>
      <w:lvlText w:val="%2)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A0B222">
      <w:start w:val="1"/>
      <w:numFmt w:val="lowerRoman"/>
      <w:lvlText w:val="%3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076AE">
      <w:start w:val="1"/>
      <w:numFmt w:val="decimal"/>
      <w:lvlText w:val="%4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AA185C">
      <w:start w:val="1"/>
      <w:numFmt w:val="lowerLetter"/>
      <w:lvlText w:val="%5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843848">
      <w:start w:val="1"/>
      <w:numFmt w:val="lowerRoman"/>
      <w:lvlText w:val="%6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4A3B2">
      <w:start w:val="1"/>
      <w:numFmt w:val="decimal"/>
      <w:lvlText w:val="%7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B060D2">
      <w:start w:val="1"/>
      <w:numFmt w:val="lowerLetter"/>
      <w:lvlText w:val="%8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0E7520">
      <w:start w:val="1"/>
      <w:numFmt w:val="lowerRoman"/>
      <w:lvlText w:val="%9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F46942"/>
    <w:multiLevelType w:val="hybridMultilevel"/>
    <w:tmpl w:val="C9405A5C"/>
    <w:lvl w:ilvl="0" w:tplc="FFAAE2E4">
      <w:start w:val="17"/>
      <w:numFmt w:val="decimal"/>
      <w:lvlText w:val="%1."/>
      <w:lvlJc w:val="left"/>
      <w:pPr>
        <w:ind w:left="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281B7A">
      <w:start w:val="2"/>
      <w:numFmt w:val="lowerLetter"/>
      <w:lvlText w:val="%2)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29CB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8600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456A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84497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AA55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23B1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8278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923B7A"/>
    <w:multiLevelType w:val="hybridMultilevel"/>
    <w:tmpl w:val="009EF356"/>
    <w:lvl w:ilvl="0" w:tplc="BA9C6186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26CFA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076D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2486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2E22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2ED4A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CA2A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E1D4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648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E87711"/>
    <w:multiLevelType w:val="hybridMultilevel"/>
    <w:tmpl w:val="2DFECC6E"/>
    <w:lvl w:ilvl="0" w:tplc="117C20E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C08AE">
      <w:start w:val="1"/>
      <w:numFmt w:val="lowerLetter"/>
      <w:lvlText w:val="%2)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1AD52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8832B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76A7D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F0614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CDB5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2EEA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8E956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D07FA3"/>
    <w:multiLevelType w:val="hybridMultilevel"/>
    <w:tmpl w:val="D1A66850"/>
    <w:lvl w:ilvl="0" w:tplc="654206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040A22">
      <w:start w:val="2"/>
      <w:numFmt w:val="lowerLetter"/>
      <w:lvlText w:val="%2)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21D60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AB500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CC2646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27E82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6A132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EECCEC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EB6B4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BC6222"/>
    <w:multiLevelType w:val="hybridMultilevel"/>
    <w:tmpl w:val="136EE5D0"/>
    <w:lvl w:ilvl="0" w:tplc="23EECABA">
      <w:start w:val="2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6877B2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8B72A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62364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A993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ADCC8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A1F8A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EA03C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A366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ED0981"/>
    <w:multiLevelType w:val="hybridMultilevel"/>
    <w:tmpl w:val="7C7C137C"/>
    <w:lvl w:ilvl="0" w:tplc="F1B8B1B0">
      <w:start w:val="1"/>
      <w:numFmt w:val="lowerLetter"/>
      <w:lvlText w:val="%1)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5AAF6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2826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A0E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56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87C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8D0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C64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4BD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FF19AD"/>
    <w:multiLevelType w:val="hybridMultilevel"/>
    <w:tmpl w:val="75F01694"/>
    <w:lvl w:ilvl="0" w:tplc="9604B74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EF6B0">
      <w:start w:val="2"/>
      <w:numFmt w:val="lowerLetter"/>
      <w:lvlText w:val="%2)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52F2C8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3619B6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546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86CFB6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682BD8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A28E06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6BCC0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C062EB"/>
    <w:multiLevelType w:val="hybridMultilevel"/>
    <w:tmpl w:val="4C12C332"/>
    <w:lvl w:ilvl="0" w:tplc="119264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B46162">
      <w:start w:val="1"/>
      <w:numFmt w:val="lowerLetter"/>
      <w:lvlText w:val="%2)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8EEB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C6A15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3E85C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4E14A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6557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CBC0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92821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CA7D88"/>
    <w:multiLevelType w:val="hybridMultilevel"/>
    <w:tmpl w:val="56821D0A"/>
    <w:lvl w:ilvl="0" w:tplc="6522220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08202C">
      <w:start w:val="1"/>
      <w:numFmt w:val="lowerLetter"/>
      <w:lvlText w:val="%2)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20945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473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AE95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2BFC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0672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4B9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0B2C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3"/>
  </w:num>
  <w:num w:numId="6">
    <w:abstractNumId w:val="10"/>
  </w:num>
  <w:num w:numId="7">
    <w:abstractNumId w:val="12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8"/>
  </w:num>
  <w:num w:numId="13">
    <w:abstractNumId w:val="6"/>
  </w:num>
  <w:num w:numId="14">
    <w:abstractNumId w:val="11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E1"/>
    <w:rsid w:val="000F68E1"/>
    <w:rsid w:val="0097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9A315-4F4D-4422-948D-4E606790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1205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</vt:lpstr>
    </vt:vector>
  </TitlesOfParts>
  <Company>Sąd Rejonowy w Piszu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</dc:title>
  <dc:subject/>
  <dc:creator>admin</dc:creator>
  <cp:keywords/>
  <cp:lastModifiedBy>Koprowska Monika</cp:lastModifiedBy>
  <cp:revision>2</cp:revision>
  <dcterms:created xsi:type="dcterms:W3CDTF">2026-07-22T10:19:00Z</dcterms:created>
  <dcterms:modified xsi:type="dcterms:W3CDTF">2026-07-22T10:19:00Z</dcterms:modified>
</cp:coreProperties>
</file>