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4D" w:rsidRPr="00F825C2" w:rsidRDefault="00DB4E4D" w:rsidP="00DB4E4D">
      <w:pPr>
        <w:ind w:left="-142" w:hanging="709"/>
        <w:rPr>
          <w:rFonts w:ascii="Arial" w:hAnsi="Arial" w:cs="Arial"/>
          <w:b/>
          <w:sz w:val="26"/>
          <w:szCs w:val="26"/>
        </w:rPr>
      </w:pPr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DB4E4D" w:rsidRDefault="00DB4E4D" w:rsidP="00E80615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OK.110.</w:t>
      </w:r>
      <w:r w:rsidR="00003C12">
        <w:rPr>
          <w:rFonts w:ascii="Arial" w:hAnsi="Arial" w:cs="Arial"/>
          <w:b/>
          <w:sz w:val="26"/>
          <w:szCs w:val="26"/>
        </w:rPr>
        <w:t>32</w:t>
      </w:r>
      <w:r w:rsidRPr="00F825C2">
        <w:rPr>
          <w:rFonts w:ascii="Arial" w:hAnsi="Arial" w:cs="Arial"/>
          <w:b/>
          <w:sz w:val="26"/>
          <w:szCs w:val="26"/>
        </w:rPr>
        <w:t>.2024</w:t>
      </w:r>
    </w:p>
    <w:p w:rsidR="00DB4E4D" w:rsidRDefault="00DB4E4D" w:rsidP="00D65253">
      <w:pPr>
        <w:spacing w:line="276" w:lineRule="auto"/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TEST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t xml:space="preserve">1.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 do właściwości sądów okręgowych należą sprawy:</w:t>
      </w:r>
    </w:p>
    <w:p w:rsid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a) </w:t>
      </w:r>
      <w:r w:rsidR="00003C12" w:rsidRPr="00D65253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o prawa majątkowe, w których wartość przedmiotu sporu przewyższa sto 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tysięcy złotych;</w:t>
      </w:r>
    </w:p>
    <w:p w:rsid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b) </w:t>
      </w:r>
      <w:r w:rsidR="00003C12" w:rsidRPr="00D65253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o prawa majątkowe, w których wartość przedmiotu sporu przewyższa 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hAnsi="Arial" w:cs="Arial"/>
          <w:color w:val="000000" w:themeColor="text1"/>
          <w:szCs w:val="24"/>
          <w:shd w:val="clear" w:color="auto" w:fill="FFFFFF"/>
        </w:rPr>
        <w:t>siedemdziesiąt pięć tysięcy złotych;</w:t>
      </w:r>
    </w:p>
    <w:p w:rsidR="00003C12" w:rsidRPr="00E80615" w:rsidRDefault="00D65253" w:rsidP="00E80615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c) o naruszenie posiadania.</w:t>
      </w:r>
    </w:p>
    <w:p w:rsidR="00003C12" w:rsidRPr="00D65253" w:rsidRDefault="00003C12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2.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 w sprawach o istnienie, unieważnienie albo rozwiązanie umowy najmu lub dzierżawy, o wydanie albo odebranie przedmiotu najmu lub dzierżawy, wartość przedmiotu sporu stanowi przy umowach zawartych na czas nieoznaczony: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003C12" w:rsidRPr="00D65253">
        <w:rPr>
          <w:rFonts w:ascii="Arial" w:hAnsi="Arial" w:cs="Arial"/>
          <w:color w:val="000000" w:themeColor="text1"/>
          <w:szCs w:val="24"/>
        </w:rPr>
        <w:t>suma czynszu za cały okres sporny;</w:t>
      </w:r>
    </w:p>
    <w:p w:rsid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suma czynszu za okres trzech miesięcy;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color w:val="000000" w:themeColor="text1"/>
          <w:szCs w:val="24"/>
        </w:rPr>
        <w:t>c)</w:t>
      </w:r>
      <w:r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003C12" w:rsidRPr="00D65253">
        <w:rPr>
          <w:rFonts w:ascii="Arial" w:hAnsi="Arial" w:cs="Arial"/>
          <w:color w:val="000000" w:themeColor="text1"/>
          <w:szCs w:val="24"/>
        </w:rPr>
        <w:t>suma czynszu za czas sporny, lecz nie więce</w:t>
      </w:r>
      <w:r>
        <w:rPr>
          <w:rFonts w:ascii="Arial" w:hAnsi="Arial" w:cs="Arial"/>
          <w:color w:val="000000" w:themeColor="text1"/>
          <w:szCs w:val="24"/>
        </w:rPr>
        <w:t>j niż za rok.</w:t>
      </w:r>
    </w:p>
    <w:p w:rsidR="00003C12" w:rsidRPr="00D65253" w:rsidRDefault="00003C12" w:rsidP="00E80615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bookmarkStart w:id="0" w:name="_GoBack"/>
      <w:bookmarkEnd w:id="0"/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t xml:space="preserve">3.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 w zakresie czynności przewodniczącego zarządzenia może również wydawać asystent sędziego, z wyjątkiem zarządzenia: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a) o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 xml:space="preserve"> zwrocie pozwu;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003C12" w:rsidRPr="00D65253">
        <w:rPr>
          <w:rFonts w:ascii="Arial" w:hAnsi="Arial" w:cs="Arial"/>
          <w:color w:val="000000" w:themeColor="text1"/>
          <w:szCs w:val="24"/>
        </w:rPr>
        <w:t>o doręczeniu pozwu;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003C12" w:rsidRPr="00D65253">
        <w:rPr>
          <w:rFonts w:ascii="Arial" w:hAnsi="Arial" w:cs="Arial"/>
          <w:color w:val="000000" w:themeColor="text1"/>
          <w:szCs w:val="24"/>
        </w:rPr>
        <w:t>o wezwaniu do uzupe</w:t>
      </w:r>
      <w:r w:rsidR="002B4354">
        <w:rPr>
          <w:rFonts w:ascii="Arial" w:hAnsi="Arial" w:cs="Arial"/>
          <w:color w:val="000000" w:themeColor="text1"/>
          <w:szCs w:val="24"/>
        </w:rPr>
        <w:t>łnienia braków fiskalnych pisma.</w:t>
      </w:r>
    </w:p>
    <w:p w:rsidR="00003C12" w:rsidRPr="00D65253" w:rsidRDefault="00003C12" w:rsidP="00D65253">
      <w:pPr>
        <w:spacing w:after="160" w:line="276" w:lineRule="auto"/>
        <w:ind w:left="1080"/>
        <w:contextualSpacing/>
        <w:jc w:val="left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003C12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t xml:space="preserve">4.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cywilnego, interwenient uboczny może wejść na miejsce strony, do której przystąpił za zgodą: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a) sądu;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003C12" w:rsidRPr="00D65253">
        <w:rPr>
          <w:rFonts w:ascii="Arial" w:hAnsi="Arial" w:cs="Arial"/>
          <w:color w:val="000000" w:themeColor="text1"/>
          <w:szCs w:val="24"/>
        </w:rPr>
        <w:t>strony do, której przystąpił;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c) stron.</w:t>
      </w:r>
    </w:p>
    <w:p w:rsidR="00D65253" w:rsidRPr="00D65253" w:rsidRDefault="00D65253" w:rsidP="00D65253">
      <w:pPr>
        <w:spacing w:after="160" w:line="276" w:lineRule="auto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t xml:space="preserve">5.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 zgłoszenie wniosku o ustanowienie adwokata lub radcy prawnego, jak również wniesienie środka odwoławczego od odmowy ich ustanowienia: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003C12" w:rsidRPr="00D65253">
        <w:rPr>
          <w:rFonts w:ascii="Arial" w:hAnsi="Arial" w:cs="Arial"/>
          <w:color w:val="000000" w:themeColor="text1"/>
          <w:szCs w:val="24"/>
        </w:rPr>
        <w:t>nigdy nie wstrzymuje biegu toczącego się postępowania;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497F7B">
        <w:rPr>
          <w:rFonts w:ascii="Arial" w:hAnsi="Arial" w:cs="Arial"/>
          <w:color w:val="000000" w:themeColor="text1"/>
          <w:szCs w:val="24"/>
        </w:rPr>
        <w:t>zawsze wstrzymuje bieg</w:t>
      </w:r>
      <w:r w:rsidR="00003C12" w:rsidRPr="00D65253">
        <w:rPr>
          <w:rFonts w:ascii="Arial" w:hAnsi="Arial" w:cs="Arial"/>
          <w:color w:val="000000" w:themeColor="text1"/>
          <w:szCs w:val="24"/>
        </w:rPr>
        <w:t xml:space="preserve"> toczącego się postępowania;</w:t>
      </w:r>
    </w:p>
    <w:p w:rsid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c)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 xml:space="preserve">nie wstrzymuje biegu toczącego się postępowania, chyba że chodzi o </w:t>
      </w:r>
    </w:p>
    <w:p w:rsid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 xml:space="preserve">ustanowienie adwokata lub radcy prawnego dla powoda na skutek wniosku 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 xml:space="preserve">zgłoszonego w pozwie </w:t>
      </w:r>
      <w:r>
        <w:rPr>
          <w:rFonts w:ascii="Arial" w:hAnsi="Arial" w:cs="Arial"/>
          <w:b/>
          <w:color w:val="000000" w:themeColor="text1"/>
          <w:szCs w:val="24"/>
        </w:rPr>
        <w:t>lub przed wytoczeniem powództwa.</w:t>
      </w:r>
    </w:p>
    <w:p w:rsidR="00003C12" w:rsidRPr="00D65253" w:rsidRDefault="00003C12" w:rsidP="00D65253">
      <w:pPr>
        <w:spacing w:after="160" w:line="276" w:lineRule="auto"/>
        <w:ind w:left="720"/>
        <w:jc w:val="left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lastRenderedPageBreak/>
        <w:t xml:space="preserve">6.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 spóźniony lub z mocy ustawy niedopuszczalny wniosek o przywrócenie terminu sąd: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003C12" w:rsidRPr="00D65253">
        <w:rPr>
          <w:rFonts w:ascii="Arial" w:hAnsi="Arial" w:cs="Arial"/>
          <w:color w:val="000000" w:themeColor="text1"/>
          <w:szCs w:val="24"/>
        </w:rPr>
        <w:t>oddala;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odrzuca;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003C12" w:rsidRPr="00D65253">
        <w:rPr>
          <w:rFonts w:ascii="Arial" w:hAnsi="Arial" w:cs="Arial"/>
          <w:color w:val="000000" w:themeColor="text1"/>
          <w:szCs w:val="24"/>
        </w:rPr>
        <w:t>zwraca.</w:t>
      </w:r>
    </w:p>
    <w:p w:rsidR="00003C12" w:rsidRPr="00D65253" w:rsidRDefault="00003C12" w:rsidP="00D65253">
      <w:pPr>
        <w:spacing w:after="160" w:line="276" w:lineRule="auto"/>
        <w:ind w:firstLine="708"/>
        <w:jc w:val="left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t xml:space="preserve">7.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cywilnego, sąd umarza postępowanie zawieszone na zgodny wniosek stron, jeżeli wniosek o podjęcie postępowania nie został zgłoszony w ciągu: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003C12" w:rsidRPr="00D65253">
        <w:rPr>
          <w:rFonts w:ascii="Arial" w:hAnsi="Arial" w:cs="Arial"/>
          <w:color w:val="000000" w:themeColor="text1"/>
          <w:szCs w:val="24"/>
        </w:rPr>
        <w:t>miesiąca od daty postanowi</w:t>
      </w:r>
      <w:r>
        <w:rPr>
          <w:rFonts w:ascii="Arial" w:hAnsi="Arial" w:cs="Arial"/>
          <w:color w:val="000000" w:themeColor="text1"/>
          <w:szCs w:val="24"/>
        </w:rPr>
        <w:t>enia o zawieszeniu postępowania;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3 miesięcy od daty postanowi</w:t>
      </w:r>
      <w:r>
        <w:rPr>
          <w:rFonts w:ascii="Arial" w:hAnsi="Arial" w:cs="Arial"/>
          <w:b/>
          <w:color w:val="000000" w:themeColor="text1"/>
          <w:szCs w:val="24"/>
        </w:rPr>
        <w:t>enia o zawieszeniu postępowania;</w:t>
      </w:r>
    </w:p>
    <w:p w:rsidR="00003C12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003C12" w:rsidRPr="00D65253">
        <w:rPr>
          <w:rFonts w:ascii="Arial" w:hAnsi="Arial" w:cs="Arial"/>
          <w:color w:val="000000" w:themeColor="text1"/>
          <w:szCs w:val="24"/>
        </w:rPr>
        <w:t xml:space="preserve">6 miesięcy od daty postanowienia o zawieszeniu postępowania. </w:t>
      </w:r>
    </w:p>
    <w:p w:rsidR="00D65253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t xml:space="preserve">8.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Zgodnie z kodeksem postępowania cywilnego niewłaściwość dającą się usunąć za pomocą umowy stron sąd bierze pod rozwagę z urzędu tylko do czasu: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doręczenia pozwu;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003C12" w:rsidRPr="00D65253">
        <w:rPr>
          <w:rFonts w:ascii="Arial" w:hAnsi="Arial" w:cs="Arial"/>
          <w:color w:val="000000" w:themeColor="text1"/>
          <w:szCs w:val="24"/>
        </w:rPr>
        <w:t>zamknięcia rozprawy;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c) doręczenia apelacji.</w:t>
      </w:r>
    </w:p>
    <w:p w:rsidR="00003C12" w:rsidRPr="00D65253" w:rsidRDefault="00003C12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 w:rsidRPr="00D65253">
        <w:rPr>
          <w:rFonts w:ascii="Arial" w:hAnsi="Arial" w:cs="Arial"/>
          <w:b/>
          <w:color w:val="000000" w:themeColor="text1"/>
          <w:szCs w:val="24"/>
        </w:rPr>
        <w:t xml:space="preserve">9.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 xml:space="preserve">Zgodnie z kodeksem postępowania </w:t>
      </w:r>
      <w:r w:rsidR="00B11974">
        <w:rPr>
          <w:rFonts w:ascii="Arial" w:hAnsi="Arial" w:cs="Arial"/>
          <w:b/>
          <w:color w:val="000000" w:themeColor="text1"/>
          <w:szCs w:val="24"/>
        </w:rPr>
        <w:t>cywilnego w postę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powaniu uproszczonym zmiana powództwa jest: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003C12" w:rsidRPr="00D65253">
        <w:rPr>
          <w:rFonts w:ascii="Arial" w:hAnsi="Arial" w:cs="Arial"/>
          <w:color w:val="000000" w:themeColor="text1"/>
          <w:szCs w:val="24"/>
        </w:rPr>
        <w:t>dopuszczalna;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003C12" w:rsidRPr="00D65253">
        <w:rPr>
          <w:rFonts w:ascii="Arial" w:hAnsi="Arial" w:cs="Arial"/>
          <w:b/>
          <w:color w:val="000000" w:themeColor="text1"/>
          <w:szCs w:val="24"/>
        </w:rPr>
        <w:t>niedopuszczalna;</w:t>
      </w:r>
    </w:p>
    <w:p w:rsidR="00003C12" w:rsidRPr="00D65253" w:rsidRDefault="00D65253" w:rsidP="00D65253">
      <w:pPr>
        <w:spacing w:after="160" w:line="276" w:lineRule="auto"/>
        <w:contextualSpacing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003C12" w:rsidRPr="00D65253">
        <w:rPr>
          <w:rFonts w:ascii="Arial" w:hAnsi="Arial" w:cs="Arial"/>
          <w:color w:val="000000" w:themeColor="text1"/>
          <w:szCs w:val="24"/>
        </w:rPr>
        <w:t xml:space="preserve">dopuszczalna do momentu wniesienia odpowiedzi na pozew. </w:t>
      </w:r>
    </w:p>
    <w:p w:rsidR="00003C12" w:rsidRPr="00D65253" w:rsidRDefault="00003C12" w:rsidP="00D65253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003C12" w:rsidRPr="00D65253" w:rsidRDefault="00D65253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10. </w:t>
      </w:r>
      <w:r w:rsidR="00003C12" w:rsidRPr="00D65253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Jeżeli ustawa zastrzega dla czynności prawnej formę pisemną, dokumentową albo elektroniczną, czynność dokonana bez zachowania zastrzeżonej formy</w:t>
      </w:r>
      <w:r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: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a) jest  nieważna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;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b) jest bezskuteczna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;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c) jest nieważna tylko wtedy, gdy ustawa przewiduje rygor nieważności.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</w:p>
    <w:p w:rsidR="00003C12" w:rsidRPr="00D65253" w:rsidRDefault="00D65253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1</w:t>
      </w:r>
      <w:r w:rsidR="00612FA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1</w:t>
      </w:r>
      <w:r w:rsidR="00003C12"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.</w:t>
      </w:r>
      <w:r w:rsidR="00003C12" w:rsidRPr="00D65253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 xml:space="preserve"> Koniec terminu przedawnienia przypada na ostatni dzie</w:t>
      </w:r>
      <w:r w:rsid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ń roku kalendarzowego, chyba że</w:t>
      </w:r>
      <w:r w:rsidR="00003C12" w:rsidRPr="00D65253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: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a) termin przedawni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enia jest  dłuższy niż dwa lata;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b) termin przedawn</w:t>
      </w:r>
      <w:r w:rsidR="00612FA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ienia jest krótszy niż dwa lata;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c) termin przedawnienia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biegnie przeciwko konsumentowi.</w:t>
      </w:r>
    </w:p>
    <w:p w:rsidR="00003C12" w:rsidRDefault="00003C12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</w:p>
    <w:p w:rsidR="00612FA9" w:rsidRP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</w:p>
    <w:p w:rsidR="00003C12" w:rsidRP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12. 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Służ</w:t>
      </w:r>
      <w:r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ebność gruntowa wygasa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: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a) j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eżeli  utraciła dla nieruchomości władnącej wszelkie znaczenie</w:t>
      </w: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;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b)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jeżeli nie jest konieczna do prawidłowego korzystania z nieruchomości władnącej</w:t>
      </w: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;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c) </w:t>
      </w:r>
      <w:r w:rsidR="00003C12"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jeśli nie była wykonywana  przez lat dziesięć.</w:t>
      </w:r>
    </w:p>
    <w:p w:rsidR="00003C12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</w:p>
    <w:p w:rsidR="00612FA9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</w:p>
    <w:p w:rsidR="00003C12" w:rsidRP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 w:rsidRPr="00612FA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13. 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Postanowienia umowy zawieranej z konsumentem nieuzgodnione indywidualnie nie wiążą go:</w:t>
      </w:r>
    </w:p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a) jeżeli kształtują jego prawa i obowiązki w sposób sprzeczny z  zasadami 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współżycia społecz</w:t>
      </w: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nego,  naruszając jego interesy;</w:t>
      </w:r>
    </w:p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b) jeżeli kształtują jego prawa i obowiązki w sposób sprzeczny z  zasadami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słuszności,   n</w:t>
      </w: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aruszając jego istotne interesy;</w:t>
      </w:r>
    </w:p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c) jeżeli kształtują jego prawa i obowiązki w sposób sprzeczny z   dobrymi </w:t>
      </w:r>
      <w:r w:rsidR="00612FA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obyczajami, r</w:t>
      </w: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ażąco  naruszając jego interesy.</w:t>
      </w:r>
    </w:p>
    <w:p w:rsidR="00003C12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612FA9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003C12" w:rsidRP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14</w:t>
      </w:r>
      <w:r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 xml:space="preserve">. 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Ubezpieczyciel obow</w:t>
      </w:r>
      <w:r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iązany jest spełnić świadczenie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: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a) w terminie trzydzies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tu dni, licząc od daty  wypadku;</w:t>
      </w:r>
    </w:p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b) w terminie trzydziestu dni, licząc od daty otrzymania zawiadomienia o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   wypadku;</w:t>
      </w:r>
    </w:p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c) w terminie trzydziestu dni, licząc od daty wydania decyzji o przyznaniu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odszkodowania.</w:t>
      </w:r>
    </w:p>
    <w:p w:rsidR="00003C12" w:rsidRDefault="00003C12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</w:p>
    <w:p w:rsidR="00612FA9" w:rsidRP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</w:p>
    <w:p w:rsidR="00003C12" w:rsidRP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15</w:t>
      </w:r>
      <w:r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 xml:space="preserve">. 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W braku zstępnych spadkodawcy powołani są</w:t>
      </w:r>
      <w:r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 xml:space="preserve"> do spadku z ustawy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: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a) jego  małżonek i rodzeństwo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;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b) jego małżonek i rodzice;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c) jego małżonek i wstępni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.</w:t>
      </w:r>
    </w:p>
    <w:p w:rsidR="00003C12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612FA9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003C12" w:rsidRPr="00612FA9" w:rsidRDefault="00612FA9" w:rsidP="00D65253">
      <w:pPr>
        <w:spacing w:line="240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 w:rsidRPr="00612FA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16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. Zachowek nie przysługuje:</w:t>
      </w:r>
    </w:p>
    <w:p w:rsidR="00003C12" w:rsidRPr="00D65253" w:rsidRDefault="00003C12" w:rsidP="00D65253">
      <w:pPr>
        <w:spacing w:line="240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a) małżonkowi spadkodawcy</w:t>
      </w:r>
      <w:r w:rsidR="00612FA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;</w:t>
      </w:r>
    </w:p>
    <w:p w:rsidR="00003C12" w:rsidRPr="00D65253" w:rsidRDefault="00612FA9" w:rsidP="00D65253">
      <w:pPr>
        <w:spacing w:line="240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b) rodzicom spadkodawcy;</w:t>
      </w:r>
    </w:p>
    <w:p w:rsidR="00003C12" w:rsidRPr="00D65253" w:rsidRDefault="00003C12" w:rsidP="00D65253">
      <w:pPr>
        <w:spacing w:line="240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c) rodzeństwu spadkodawcy</w:t>
      </w:r>
      <w:r w:rsidR="00612FA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.</w:t>
      </w:r>
    </w:p>
    <w:p w:rsidR="00003C12" w:rsidRDefault="00003C12" w:rsidP="00D65253">
      <w:pPr>
        <w:spacing w:line="240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612FA9" w:rsidRDefault="00612FA9" w:rsidP="00D65253">
      <w:pPr>
        <w:spacing w:line="240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612FA9" w:rsidRDefault="00612FA9" w:rsidP="00D65253">
      <w:pPr>
        <w:spacing w:line="240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612FA9" w:rsidRDefault="00612FA9" w:rsidP="00D65253">
      <w:pPr>
        <w:spacing w:line="240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612FA9" w:rsidRPr="00D65253" w:rsidRDefault="00612FA9" w:rsidP="00D65253">
      <w:pPr>
        <w:spacing w:line="240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003C12" w:rsidRP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17</w:t>
      </w:r>
      <w:r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 xml:space="preserve">. </w:t>
      </w:r>
      <w:r w:rsidR="00003C12" w:rsidRPr="00612FA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Gdy wskutek czynności prawnej dłużnika dokonanej z pokrzywdzeniem wierzycieli osoba trze</w:t>
      </w:r>
      <w:r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cia uzyskała korzyść majątkową:</w:t>
      </w:r>
    </w:p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a) każdy z wierzycieli może żądać uznania tej czynności za bezskuteczną w </w:t>
      </w:r>
      <w:r w:rsidR="00612FA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</w:t>
      </w:r>
    </w:p>
    <w:p w:rsid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stosunku do niego, jeżeli dłużnik działał ze świadomością pokrzywdzenia </w:t>
      </w:r>
    </w:p>
    <w:p w:rsidR="00612FA9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wierzycieli, a osoba trzecia o tym wiedziała lub przy zachowaniu należytej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s</w:t>
      </w:r>
      <w:r w:rsidR="00802BE6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>taranności mogła się dowiedzieć;</w:t>
      </w:r>
    </w:p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b) każdy z wierzycieli może żądać uznania tej czynności za nieważną, jeżeli dłużnik </w:t>
      </w:r>
    </w:p>
    <w:p w:rsidR="00612FA9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działał ze świadomością pokrzywdzenia wierzycieli, a osoba trzecia o tym </w:t>
      </w:r>
    </w:p>
    <w:p w:rsidR="00612FA9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wiedziała lub przy zachowaniu należytej staranności mogła się dowiedzieć </w:t>
      </w:r>
      <w:bookmarkStart w:id="1" w:name="_Hlk188188656"/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oraz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wskutek czynności odniosła korzyść majątkową</w:t>
      </w:r>
      <w:r w:rsidR="00802BE6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;</w:t>
      </w:r>
    </w:p>
    <w:bookmarkEnd w:id="1"/>
    <w:p w:rsidR="00612FA9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c) może żądać uznania tej czynności za nieistniejącą, jeżeli dłużnik działał ze </w:t>
      </w:r>
    </w:p>
    <w:p w:rsidR="00612FA9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świadomością pokrzywdzenia wierzycieli, a osoba trzecia o tym wiedziała lub przy </w:t>
      </w:r>
    </w:p>
    <w:p w:rsidR="00612FA9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zachowaniu należytej staranności mogła się dowiedzieć oraz wskutek czynności </w:t>
      </w:r>
    </w:p>
    <w:p w:rsidR="00003C12" w:rsidRPr="00D65253" w:rsidRDefault="00612FA9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lastRenderedPageBreak/>
        <w:t xml:space="preserve">    </w:t>
      </w:r>
      <w:r w:rsidR="00003C12" w:rsidRPr="00D65253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odniosła korzyść majątkową</w:t>
      </w:r>
      <w:r w:rsidR="00802BE6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>.</w:t>
      </w:r>
    </w:p>
    <w:p w:rsidR="00003C12" w:rsidRPr="00D65253" w:rsidRDefault="00003C12" w:rsidP="00D65253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802BE6" w:rsidRPr="00247239" w:rsidRDefault="00337FC7" w:rsidP="00802BE6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18</w:t>
      </w:r>
      <w:r w:rsidR="00802BE6" w:rsidRPr="00247239">
        <w:rPr>
          <w:rFonts w:ascii="Arial" w:eastAsia="Calibri" w:hAnsi="Arial" w:cs="Arial"/>
          <w:b/>
          <w:color w:val="000000" w:themeColor="text1"/>
          <w:kern w:val="2"/>
          <w:szCs w:val="24"/>
          <w:shd w:val="clear" w:color="auto" w:fill="FFFFFF"/>
        </w:rPr>
        <w:t>. Jeżeli dłużnik opóźnia się ze spełnieniem świadczenia pieniężnego, wierzyciel może: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a) żądać odsetek za czas opóźnienia, jeśli opóźnienie jest następstwem okoliczności, 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za które dłużnik ponosi odpowiedzialność;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b) żądać odsetek za czas opóźnienia jeśli na skutek opóźnienia poniósł szkodę a 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opóźnienie jest następstwem okoliczności, za które dłużnik ponosi 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  <w:t xml:space="preserve">    odpowiedzialność;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c) żądać odsetek za czas opóźnienia, chociażby nie poniósł żadnej szkody i 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   chociażby opóźnienie było następstwem okoliczności, za które dłużnik </w:t>
      </w:r>
    </w:p>
    <w:p w:rsidR="00802BE6" w:rsidRPr="00247239" w:rsidRDefault="00802BE6" w:rsidP="00802BE6">
      <w:pPr>
        <w:spacing w:line="259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  <w:r w:rsidRPr="00247239"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  <w:t xml:space="preserve">    odpowiedzialności nie ponosi.</w:t>
      </w:r>
    </w:p>
    <w:p w:rsidR="00802BE6" w:rsidRPr="00247239" w:rsidRDefault="00802BE6" w:rsidP="00802BE6">
      <w:pPr>
        <w:spacing w:line="259" w:lineRule="auto"/>
        <w:jc w:val="left"/>
        <w:rPr>
          <w:rFonts w:eastAsia="Calibri" w:cs="Times New Roman"/>
          <w:b/>
          <w:bCs/>
          <w:color w:val="000000" w:themeColor="text1"/>
          <w:kern w:val="2"/>
          <w:sz w:val="26"/>
          <w:szCs w:val="26"/>
          <w:shd w:val="clear" w:color="auto" w:fill="FFFFFF"/>
        </w:rPr>
      </w:pPr>
    </w:p>
    <w:p w:rsidR="00337FC7" w:rsidRPr="001A28AF" w:rsidRDefault="00337FC7" w:rsidP="00337FC7">
      <w:pPr>
        <w:spacing w:line="276" w:lineRule="auto"/>
        <w:rPr>
          <w:rFonts w:ascii="Arial" w:hAnsi="Arial" w:cs="Arial"/>
          <w:b/>
          <w:szCs w:val="24"/>
        </w:rPr>
      </w:pPr>
      <w:r w:rsidRPr="001A28AF">
        <w:rPr>
          <w:rFonts w:ascii="Arial" w:hAnsi="Arial" w:cs="Arial"/>
          <w:b/>
          <w:szCs w:val="24"/>
        </w:rPr>
        <w:t>1</w:t>
      </w:r>
      <w:r w:rsidR="001A28AF">
        <w:rPr>
          <w:rFonts w:ascii="Arial" w:hAnsi="Arial" w:cs="Arial"/>
          <w:b/>
          <w:szCs w:val="24"/>
        </w:rPr>
        <w:t>9</w:t>
      </w:r>
      <w:r w:rsidRPr="001A28AF">
        <w:rPr>
          <w:rFonts w:ascii="Arial" w:hAnsi="Arial" w:cs="Arial"/>
          <w:b/>
          <w:szCs w:val="24"/>
        </w:rPr>
        <w:t>. Zgodnie z Kodeksem karnym, środkiem zabezpieczającym nie jest:</w:t>
      </w:r>
    </w:p>
    <w:p w:rsidR="00337FC7" w:rsidRPr="00337FC7" w:rsidRDefault="001A28AF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elektr</w:t>
      </w:r>
      <w:r w:rsidR="00247239">
        <w:rPr>
          <w:rFonts w:ascii="Arial" w:hAnsi="Arial" w:cs="Arial"/>
          <w:szCs w:val="24"/>
        </w:rPr>
        <w:t>oniczna kontrola miejsca pobytu;</w:t>
      </w:r>
    </w:p>
    <w:p w:rsidR="00337FC7" w:rsidRPr="00337FC7" w:rsidRDefault="001A28AF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247239">
        <w:rPr>
          <w:rFonts w:ascii="Arial" w:hAnsi="Arial" w:cs="Arial"/>
          <w:szCs w:val="24"/>
        </w:rPr>
        <w:t>terapia;</w:t>
      </w:r>
    </w:p>
    <w:p w:rsidR="00337FC7" w:rsidRPr="00337FC7" w:rsidRDefault="001A28AF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="00337FC7" w:rsidRPr="00337FC7">
        <w:rPr>
          <w:rFonts w:ascii="Arial" w:hAnsi="Arial" w:cs="Arial"/>
          <w:b/>
          <w:szCs w:val="24"/>
        </w:rPr>
        <w:t>nawiązka.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105A11" w:rsidRDefault="00337FC7" w:rsidP="00337FC7">
      <w:pPr>
        <w:spacing w:line="276" w:lineRule="auto"/>
        <w:rPr>
          <w:rFonts w:ascii="Arial" w:hAnsi="Arial" w:cs="Arial"/>
          <w:b/>
          <w:szCs w:val="24"/>
        </w:rPr>
      </w:pPr>
      <w:r w:rsidRPr="001A28AF">
        <w:rPr>
          <w:rFonts w:ascii="Arial" w:hAnsi="Arial" w:cs="Arial"/>
          <w:b/>
          <w:szCs w:val="24"/>
        </w:rPr>
        <w:t>2</w:t>
      </w:r>
      <w:r w:rsidR="001A28AF" w:rsidRPr="001A28AF">
        <w:rPr>
          <w:rFonts w:ascii="Arial" w:hAnsi="Arial" w:cs="Arial"/>
          <w:b/>
          <w:szCs w:val="24"/>
        </w:rPr>
        <w:t>0.</w:t>
      </w:r>
      <w:r w:rsidR="001A28AF">
        <w:rPr>
          <w:rFonts w:ascii="Arial" w:hAnsi="Arial" w:cs="Arial"/>
          <w:szCs w:val="24"/>
        </w:rPr>
        <w:t xml:space="preserve"> </w:t>
      </w:r>
      <w:r w:rsidRPr="00105A11">
        <w:rPr>
          <w:rFonts w:ascii="Arial" w:hAnsi="Arial" w:cs="Arial"/>
          <w:b/>
          <w:szCs w:val="24"/>
        </w:rPr>
        <w:t>Zgodnie z Kodeksem karnym, jeżeli skazany po wydaniu wyroku, którym orzeczono karę  pozbawienia wolności z warunkowym zawieszeniem jej wykonania, lecz przed jego uprawomocnieniem się, rażąco narusza porządek prawny, a w szczególności</w:t>
      </w:r>
      <w:r w:rsidR="00105A11" w:rsidRPr="00105A11">
        <w:rPr>
          <w:rFonts w:ascii="Arial" w:hAnsi="Arial" w:cs="Arial"/>
          <w:b/>
          <w:szCs w:val="24"/>
        </w:rPr>
        <w:t>,</w:t>
      </w:r>
      <w:r w:rsidRPr="00105A11">
        <w:rPr>
          <w:rFonts w:ascii="Arial" w:hAnsi="Arial" w:cs="Arial"/>
          <w:b/>
          <w:szCs w:val="24"/>
        </w:rPr>
        <w:t xml:space="preserve"> gdy w tym czasie popełnił przestępstwo, sąd: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a)</w:t>
      </w:r>
      <w:r w:rsidR="00247239">
        <w:rPr>
          <w:rFonts w:ascii="Arial" w:hAnsi="Arial" w:cs="Arial"/>
          <w:b/>
          <w:szCs w:val="24"/>
        </w:rPr>
        <w:t xml:space="preserve"> może zarządzić wykonanie kary;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247239">
        <w:rPr>
          <w:rFonts w:ascii="Arial" w:hAnsi="Arial" w:cs="Arial"/>
          <w:szCs w:val="24"/>
        </w:rPr>
        <w:t xml:space="preserve"> zarządza wykonanie kary;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zarządza wykonanie kary wyłącznie na wniosek kuratora.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105A11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 w:rsidRPr="00105A11">
        <w:rPr>
          <w:rFonts w:ascii="Arial" w:hAnsi="Arial" w:cs="Arial"/>
          <w:b/>
          <w:szCs w:val="24"/>
        </w:rPr>
        <w:t>21</w:t>
      </w:r>
      <w:r>
        <w:rPr>
          <w:rFonts w:ascii="Arial" w:hAnsi="Arial" w:cs="Arial"/>
          <w:szCs w:val="24"/>
        </w:rPr>
        <w:t>.</w:t>
      </w:r>
      <w:r w:rsidR="00337FC7" w:rsidRPr="00337FC7">
        <w:rPr>
          <w:rFonts w:ascii="Arial" w:hAnsi="Arial" w:cs="Arial"/>
          <w:szCs w:val="24"/>
        </w:rPr>
        <w:t xml:space="preserve"> </w:t>
      </w:r>
      <w:r w:rsidR="00337FC7" w:rsidRPr="00105A11">
        <w:rPr>
          <w:rFonts w:ascii="Arial" w:hAnsi="Arial" w:cs="Arial"/>
          <w:b/>
          <w:szCs w:val="24"/>
        </w:rPr>
        <w:t>Zgodnie z Kodeksem karnym, sprawca czynu zabronionego, jeżeli nie można mu przypisać winy w czasie czynu: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nie podl</w:t>
      </w:r>
      <w:r w:rsidR="00247239">
        <w:rPr>
          <w:rFonts w:ascii="Arial" w:hAnsi="Arial" w:cs="Arial"/>
          <w:szCs w:val="24"/>
        </w:rPr>
        <w:t>ega karze;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popełnia przestępstwo, ale sąd mo</w:t>
      </w:r>
      <w:r w:rsidR="00247239">
        <w:rPr>
          <w:rFonts w:ascii="Arial" w:hAnsi="Arial" w:cs="Arial"/>
          <w:szCs w:val="24"/>
        </w:rPr>
        <w:t>że odstąpić od wymierzenia kary;</w:t>
      </w:r>
    </w:p>
    <w:p w:rsidR="00337FC7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c)</w:t>
      </w:r>
      <w:r w:rsidR="00337FC7" w:rsidRPr="00337FC7">
        <w:rPr>
          <w:rFonts w:ascii="Arial" w:hAnsi="Arial" w:cs="Arial"/>
          <w:b/>
          <w:szCs w:val="24"/>
        </w:rPr>
        <w:t xml:space="preserve"> nie popełnia przestępstwa.</w:t>
      </w:r>
      <w:r w:rsidR="00337FC7" w:rsidRPr="00337FC7">
        <w:rPr>
          <w:rFonts w:ascii="Arial" w:hAnsi="Arial" w:cs="Arial"/>
          <w:b/>
          <w:szCs w:val="24"/>
        </w:rPr>
        <w:cr/>
      </w:r>
    </w:p>
    <w:p w:rsidR="00247239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</w:p>
    <w:p w:rsidR="00247239" w:rsidRPr="00337FC7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</w:p>
    <w:p w:rsidR="00337FC7" w:rsidRPr="00105A11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 w:rsidRPr="00105A11">
        <w:rPr>
          <w:rFonts w:ascii="Arial" w:hAnsi="Arial" w:cs="Arial"/>
          <w:b/>
          <w:szCs w:val="24"/>
        </w:rPr>
        <w:t>22.</w:t>
      </w:r>
      <w:r w:rsidR="00337FC7" w:rsidRPr="00105A11">
        <w:rPr>
          <w:rFonts w:ascii="Arial" w:hAnsi="Arial" w:cs="Arial"/>
          <w:b/>
          <w:szCs w:val="24"/>
        </w:rPr>
        <w:t xml:space="preserve"> Zgodnie z Kodeksem karnym, z chwilą zatarcia skazania: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a)</w:t>
      </w:r>
      <w:r w:rsidR="00337FC7" w:rsidRPr="00337FC7">
        <w:rPr>
          <w:rFonts w:ascii="Arial" w:hAnsi="Arial" w:cs="Arial"/>
          <w:b/>
          <w:szCs w:val="24"/>
        </w:rPr>
        <w:t xml:space="preserve"> uważa się je za niebyłe; wpis o skazaniu usuwa się z rejestru skazanych</w:t>
      </w:r>
      <w:r w:rsidR="00247239" w:rsidRPr="00247239">
        <w:rPr>
          <w:rFonts w:ascii="Arial" w:hAnsi="Arial" w:cs="Arial"/>
          <w:b/>
          <w:szCs w:val="24"/>
        </w:rPr>
        <w:t>;</w:t>
      </w:r>
    </w:p>
    <w:p w:rsidR="00247239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uważa się je za niebyłe; wpis o skazaniu usuwa się z rejestru skazanych tylko na </w:t>
      </w:r>
    </w:p>
    <w:p w:rsidR="00247239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37FC7" w:rsidRPr="00337FC7">
        <w:rPr>
          <w:rFonts w:ascii="Arial" w:hAnsi="Arial" w:cs="Arial"/>
          <w:szCs w:val="24"/>
        </w:rPr>
        <w:t xml:space="preserve">wniosek skazanego, wyłącznie w wypadkach, gdy ustawa dopuszcza taką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możliwość;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uważa się je za niebyłe; wpisu o skazaniu nie usuwa się z rejestru skazanych.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105A11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 w:rsidRPr="00105A11">
        <w:rPr>
          <w:rFonts w:ascii="Arial" w:hAnsi="Arial" w:cs="Arial"/>
          <w:b/>
          <w:szCs w:val="24"/>
        </w:rPr>
        <w:t>23.</w:t>
      </w:r>
      <w:r w:rsidR="00337FC7" w:rsidRPr="00105A11">
        <w:rPr>
          <w:rFonts w:ascii="Arial" w:hAnsi="Arial" w:cs="Arial"/>
          <w:b/>
          <w:szCs w:val="24"/>
        </w:rPr>
        <w:t xml:space="preserve"> Zgodnie z Kodeksem postępowania w sprawach o wykroczenia, jeżeli oskarżyciel publiczny nie bierze udziału w rozprawie, wniosek o ukaranie: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247239">
        <w:rPr>
          <w:rFonts w:ascii="Arial" w:hAnsi="Arial" w:cs="Arial"/>
          <w:szCs w:val="24"/>
        </w:rPr>
        <w:t xml:space="preserve"> nie podlega odczytaniu;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247239">
        <w:rPr>
          <w:rFonts w:ascii="Arial" w:hAnsi="Arial" w:cs="Arial"/>
          <w:szCs w:val="24"/>
        </w:rPr>
        <w:t xml:space="preserve"> odczytuje sędzia;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c)</w:t>
      </w:r>
      <w:r w:rsidR="00337FC7" w:rsidRPr="00337FC7">
        <w:rPr>
          <w:rFonts w:ascii="Arial" w:hAnsi="Arial" w:cs="Arial"/>
          <w:b/>
          <w:szCs w:val="24"/>
        </w:rPr>
        <w:t xml:space="preserve"> odczytuje protokolant.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105A11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 w:rsidRPr="00105A11">
        <w:rPr>
          <w:rFonts w:ascii="Arial" w:hAnsi="Arial" w:cs="Arial"/>
          <w:b/>
          <w:szCs w:val="24"/>
        </w:rPr>
        <w:lastRenderedPageBreak/>
        <w:t>24.</w:t>
      </w:r>
      <w:r w:rsidR="00337FC7" w:rsidRPr="00105A11">
        <w:rPr>
          <w:rFonts w:ascii="Arial" w:hAnsi="Arial" w:cs="Arial"/>
          <w:b/>
          <w:szCs w:val="24"/>
        </w:rPr>
        <w:t xml:space="preserve"> Zgodnie z Kodeksem karnym, funkcjonariuszem publicznym nie jest:</w:t>
      </w:r>
    </w:p>
    <w:p w:rsidR="00247239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="00337FC7" w:rsidRPr="00337FC7">
        <w:rPr>
          <w:rFonts w:ascii="Arial" w:hAnsi="Arial" w:cs="Arial"/>
          <w:b/>
          <w:szCs w:val="24"/>
        </w:rPr>
        <w:t xml:space="preserve">pracownik międzynarodowego trybunału karnego pełniący wyłącznie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czynności usługowe;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f</w:t>
      </w:r>
      <w:r w:rsidR="00247239">
        <w:rPr>
          <w:rFonts w:ascii="Arial" w:hAnsi="Arial" w:cs="Arial"/>
          <w:szCs w:val="24"/>
        </w:rPr>
        <w:t>unkcjonariusz Służby Więziennej;</w:t>
      </w:r>
    </w:p>
    <w:p w:rsidR="00337FC7" w:rsidRPr="00337FC7" w:rsidRDefault="00105A11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poseł do Parlamentu Europejskiego.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105A11" w:rsidRDefault="00105A11" w:rsidP="00337FC7">
      <w:pPr>
        <w:spacing w:line="276" w:lineRule="auto"/>
        <w:rPr>
          <w:rFonts w:ascii="Arial" w:hAnsi="Arial" w:cs="Arial"/>
          <w:b/>
          <w:szCs w:val="24"/>
        </w:rPr>
      </w:pPr>
      <w:r w:rsidRPr="00105A11">
        <w:rPr>
          <w:rFonts w:ascii="Arial" w:hAnsi="Arial" w:cs="Arial"/>
          <w:b/>
          <w:szCs w:val="24"/>
        </w:rPr>
        <w:t>25</w:t>
      </w:r>
      <w:r w:rsidR="00337FC7" w:rsidRPr="00105A11">
        <w:rPr>
          <w:rFonts w:ascii="Arial" w:hAnsi="Arial" w:cs="Arial"/>
          <w:b/>
          <w:szCs w:val="24"/>
        </w:rPr>
        <w:t>. Zgodnie z Kodeksem karnym, przepisy części ogólnej tego kodeksu:</w:t>
      </w:r>
    </w:p>
    <w:p w:rsidR="00247239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można zastosować do innych ustaw przewidujących odpowiedzialność karną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37FC7" w:rsidRPr="00337FC7">
        <w:rPr>
          <w:rFonts w:ascii="Arial" w:hAnsi="Arial" w:cs="Arial"/>
          <w:szCs w:val="24"/>
        </w:rPr>
        <w:t>wyłącznie wt</w:t>
      </w:r>
      <w:r>
        <w:rPr>
          <w:rFonts w:ascii="Arial" w:hAnsi="Arial" w:cs="Arial"/>
          <w:szCs w:val="24"/>
        </w:rPr>
        <w:t>edy, gdy ustawy te tak stanowią;</w:t>
      </w:r>
    </w:p>
    <w:p w:rsidR="00247239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nigdy nie mają zastosowania do innych ustaw przewidujących odpowiedzialność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karną;</w:t>
      </w:r>
    </w:p>
    <w:p w:rsidR="00247239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c)</w:t>
      </w:r>
      <w:r w:rsidR="00337FC7" w:rsidRPr="00337FC7">
        <w:rPr>
          <w:rFonts w:ascii="Arial" w:hAnsi="Arial" w:cs="Arial"/>
          <w:b/>
          <w:szCs w:val="24"/>
        </w:rPr>
        <w:t xml:space="preserve"> stosuje się do innych ustaw przewidujących odpowiedzialność karną, chyba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337FC7" w:rsidRPr="00337FC7">
        <w:rPr>
          <w:rFonts w:ascii="Arial" w:hAnsi="Arial" w:cs="Arial"/>
          <w:b/>
          <w:szCs w:val="24"/>
        </w:rPr>
        <w:t>że ustawy te wyraźnie wyłączają ich zastosowanie.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EC5057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 w:rsidRPr="00EC5057">
        <w:rPr>
          <w:rFonts w:ascii="Arial" w:hAnsi="Arial" w:cs="Arial"/>
          <w:b/>
          <w:szCs w:val="24"/>
        </w:rPr>
        <w:t>26</w:t>
      </w:r>
      <w:r w:rsidR="00337FC7" w:rsidRPr="00EC5057">
        <w:rPr>
          <w:rFonts w:ascii="Arial" w:hAnsi="Arial" w:cs="Arial"/>
          <w:b/>
          <w:szCs w:val="24"/>
        </w:rPr>
        <w:t>. Zgodnie z Kodeksem postępowania karnego, oskarżyciel publiczny może cofnąć akt oskarżenia bez zgody oskarżonego:</w:t>
      </w:r>
    </w:p>
    <w:p w:rsidR="00337FC7" w:rsidRPr="00F029B7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a)</w:t>
      </w:r>
      <w:r w:rsidR="00337FC7" w:rsidRPr="00F029B7">
        <w:rPr>
          <w:rFonts w:ascii="Arial" w:hAnsi="Arial" w:cs="Arial"/>
          <w:b/>
          <w:szCs w:val="24"/>
        </w:rPr>
        <w:t xml:space="preserve"> do czasu rozpoczęcia przewodu sądowego</w:t>
      </w:r>
      <w:r w:rsidR="00247239">
        <w:rPr>
          <w:rFonts w:ascii="Arial" w:hAnsi="Arial" w:cs="Arial"/>
          <w:b/>
          <w:szCs w:val="24"/>
        </w:rPr>
        <w:t xml:space="preserve"> na pierwszej rozprawie głównej;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w toku przewodu sądowego </w:t>
      </w:r>
      <w:r w:rsidR="00247239">
        <w:rPr>
          <w:rFonts w:ascii="Arial" w:hAnsi="Arial" w:cs="Arial"/>
          <w:szCs w:val="24"/>
        </w:rPr>
        <w:t>przed sądem pierwszej instancji;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do czasu prawomocnego zakończenia postępowania w sprawie.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EC5057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 w:rsidRPr="00EC5057">
        <w:rPr>
          <w:rFonts w:ascii="Arial" w:hAnsi="Arial" w:cs="Arial"/>
          <w:b/>
          <w:szCs w:val="24"/>
        </w:rPr>
        <w:t>27</w:t>
      </w:r>
      <w:r w:rsidR="00337FC7" w:rsidRPr="008F5DE7">
        <w:rPr>
          <w:rFonts w:ascii="Arial" w:hAnsi="Arial" w:cs="Arial"/>
          <w:b/>
          <w:szCs w:val="24"/>
        </w:rPr>
        <w:t>.</w:t>
      </w:r>
      <w:r w:rsidR="00337FC7" w:rsidRPr="00337FC7">
        <w:rPr>
          <w:rFonts w:ascii="Arial" w:hAnsi="Arial" w:cs="Arial"/>
          <w:szCs w:val="24"/>
        </w:rPr>
        <w:t xml:space="preserve"> </w:t>
      </w:r>
      <w:r w:rsidR="00337FC7" w:rsidRPr="00EC5057">
        <w:rPr>
          <w:rFonts w:ascii="Arial" w:hAnsi="Arial" w:cs="Arial"/>
          <w:b/>
          <w:szCs w:val="24"/>
        </w:rPr>
        <w:t>Zgodnie z Kodeksem wykroczeń, kara aresztu trwa: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najkrócej 10, naj</w:t>
      </w:r>
      <w:r w:rsidR="00247239">
        <w:rPr>
          <w:rFonts w:ascii="Arial" w:hAnsi="Arial" w:cs="Arial"/>
          <w:szCs w:val="24"/>
        </w:rPr>
        <w:t>dłużej 60 dni;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247239">
        <w:rPr>
          <w:rFonts w:ascii="Arial" w:hAnsi="Arial" w:cs="Arial"/>
          <w:szCs w:val="24"/>
        </w:rPr>
        <w:t xml:space="preserve"> najkrócej 3, najdłużej 45 dni;</w:t>
      </w:r>
    </w:p>
    <w:p w:rsidR="00337FC7" w:rsidRPr="00F029B7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c)</w:t>
      </w:r>
      <w:r w:rsidR="00337FC7" w:rsidRPr="00F029B7">
        <w:rPr>
          <w:rFonts w:ascii="Arial" w:hAnsi="Arial" w:cs="Arial"/>
          <w:b/>
          <w:szCs w:val="24"/>
        </w:rPr>
        <w:t xml:space="preserve"> najkrócej 5, najdłużej 30 dni.</w:t>
      </w:r>
      <w:r w:rsidR="00337FC7" w:rsidRPr="00F029B7">
        <w:rPr>
          <w:rFonts w:ascii="Arial" w:hAnsi="Arial" w:cs="Arial"/>
          <w:b/>
          <w:szCs w:val="24"/>
        </w:rPr>
        <w:cr/>
      </w:r>
    </w:p>
    <w:p w:rsidR="00337FC7" w:rsidRPr="00EC5057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 w:rsidRPr="00EC5057">
        <w:rPr>
          <w:rFonts w:ascii="Arial" w:hAnsi="Arial" w:cs="Arial"/>
          <w:b/>
          <w:szCs w:val="24"/>
        </w:rPr>
        <w:t>28</w:t>
      </w:r>
      <w:r w:rsidR="00337FC7" w:rsidRPr="00EC5057">
        <w:rPr>
          <w:rFonts w:ascii="Arial" w:hAnsi="Arial" w:cs="Arial"/>
          <w:b/>
          <w:szCs w:val="24"/>
        </w:rPr>
        <w:t>. Zgodnie z Kodeksem postępowania karnego, spór o właściwość między sądami rozstrzyga:</w:t>
      </w:r>
    </w:p>
    <w:p w:rsidR="00247239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a)</w:t>
      </w:r>
      <w:r w:rsidR="00337FC7" w:rsidRPr="00F029B7">
        <w:rPr>
          <w:rFonts w:ascii="Arial" w:hAnsi="Arial" w:cs="Arial"/>
          <w:b/>
          <w:szCs w:val="24"/>
        </w:rPr>
        <w:t xml:space="preserve"> sąd wyższego rzędu właściwy ze względu na siedzibę sądu, który pierwszy </w:t>
      </w:r>
    </w:p>
    <w:p w:rsidR="00337FC7" w:rsidRPr="00F029B7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337FC7" w:rsidRPr="00F029B7">
        <w:rPr>
          <w:rFonts w:ascii="Arial" w:hAnsi="Arial" w:cs="Arial"/>
          <w:b/>
          <w:szCs w:val="24"/>
        </w:rPr>
        <w:t xml:space="preserve">wszczął </w:t>
      </w:r>
      <w:r>
        <w:rPr>
          <w:rFonts w:ascii="Arial" w:hAnsi="Arial" w:cs="Arial"/>
          <w:b/>
          <w:szCs w:val="24"/>
        </w:rPr>
        <w:t>spór;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247239">
        <w:rPr>
          <w:rFonts w:ascii="Arial" w:hAnsi="Arial" w:cs="Arial"/>
          <w:szCs w:val="24"/>
        </w:rPr>
        <w:t xml:space="preserve"> Sąd Najwyższy;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sąd apelacyjny właściwy ze względu na siedzibę sądu, który pierwszy wszczął spór.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EC5057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 w:rsidRPr="00EC5057">
        <w:rPr>
          <w:rFonts w:ascii="Arial" w:hAnsi="Arial" w:cs="Arial"/>
          <w:b/>
          <w:szCs w:val="24"/>
        </w:rPr>
        <w:t>29</w:t>
      </w:r>
      <w:r w:rsidR="00337FC7" w:rsidRPr="00EC5057">
        <w:rPr>
          <w:rFonts w:ascii="Arial" w:hAnsi="Arial" w:cs="Arial"/>
          <w:b/>
          <w:szCs w:val="24"/>
        </w:rPr>
        <w:t>. Zgodnie z Kodeksem postępowania karnego, stosowanie w czasie badania przez biegłego środków technicznych mających na celu kontrolę nieświadomych reakcji organizmu badanej osoby: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m</w:t>
      </w:r>
      <w:r w:rsidR="00247239">
        <w:rPr>
          <w:rFonts w:ascii="Arial" w:hAnsi="Arial" w:cs="Arial"/>
          <w:szCs w:val="24"/>
        </w:rPr>
        <w:t>ożliwe jest nawet bez jej zgody;</w:t>
      </w:r>
    </w:p>
    <w:p w:rsidR="00337FC7" w:rsidRPr="00337FC7" w:rsidRDefault="00EC505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nie j</w:t>
      </w:r>
      <w:r w:rsidR="00247239">
        <w:rPr>
          <w:rFonts w:ascii="Arial" w:hAnsi="Arial" w:cs="Arial"/>
          <w:szCs w:val="24"/>
        </w:rPr>
        <w:t>est możliwe, nawet za jej zgodą;</w:t>
      </w:r>
    </w:p>
    <w:p w:rsidR="00337FC7" w:rsidRPr="00F029B7" w:rsidRDefault="00EC505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c)</w:t>
      </w:r>
      <w:r w:rsidR="00337FC7" w:rsidRPr="00F029B7">
        <w:rPr>
          <w:rFonts w:ascii="Arial" w:hAnsi="Arial" w:cs="Arial"/>
          <w:b/>
          <w:szCs w:val="24"/>
        </w:rPr>
        <w:t xml:space="preserve"> możliwe jest wyłącznie za jej zgodą.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7F08CF" w:rsidRDefault="007F08CF" w:rsidP="00337FC7">
      <w:pPr>
        <w:spacing w:line="276" w:lineRule="auto"/>
        <w:rPr>
          <w:rFonts w:ascii="Arial" w:hAnsi="Arial" w:cs="Arial"/>
          <w:b/>
          <w:szCs w:val="24"/>
        </w:rPr>
      </w:pPr>
      <w:r w:rsidRPr="007F08CF">
        <w:rPr>
          <w:rFonts w:ascii="Arial" w:hAnsi="Arial" w:cs="Arial"/>
          <w:b/>
          <w:szCs w:val="24"/>
        </w:rPr>
        <w:t>30</w:t>
      </w:r>
      <w:r w:rsidR="00337FC7" w:rsidRPr="007F08CF">
        <w:rPr>
          <w:rFonts w:ascii="Arial" w:hAnsi="Arial" w:cs="Arial"/>
          <w:b/>
          <w:szCs w:val="24"/>
        </w:rPr>
        <w:t>. Zgodnie z Kodeksem postępowania karnego, gdy w sprawie ujawnią się nowe istotne fakty lub dowody nie znane w poprzednim postępowaniu, prawomocnie umorzone postępowanie przygotowawcze wznawia się przeciwko osobie, która występowała w charakterze podejrzanego, na mocy postanowienia:</w:t>
      </w:r>
    </w:p>
    <w:p w:rsidR="00337FC7" w:rsidRPr="00337FC7" w:rsidRDefault="007F08CF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sądu w</w:t>
      </w:r>
      <w:r w:rsidR="00247239">
        <w:rPr>
          <w:rFonts w:ascii="Arial" w:hAnsi="Arial" w:cs="Arial"/>
          <w:szCs w:val="24"/>
        </w:rPr>
        <w:t>łaściwego do rozpoznania sprawy;</w:t>
      </w:r>
    </w:p>
    <w:p w:rsidR="00247239" w:rsidRDefault="007F08CF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b)</w:t>
      </w:r>
      <w:r w:rsidR="00337FC7" w:rsidRPr="00F029B7">
        <w:rPr>
          <w:rFonts w:ascii="Arial" w:hAnsi="Arial" w:cs="Arial"/>
          <w:b/>
          <w:szCs w:val="24"/>
        </w:rPr>
        <w:t xml:space="preserve"> prokuratora nadrzędnego nad tym, który wydał lub zatwie</w:t>
      </w:r>
      <w:r w:rsidR="00247239">
        <w:rPr>
          <w:rFonts w:ascii="Arial" w:hAnsi="Arial" w:cs="Arial"/>
          <w:b/>
          <w:szCs w:val="24"/>
        </w:rPr>
        <w:t xml:space="preserve">rdził postanowienie </w:t>
      </w:r>
    </w:p>
    <w:p w:rsidR="00337FC7" w:rsidRPr="00F029B7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    o umorzeniu;</w:t>
      </w:r>
    </w:p>
    <w:p w:rsidR="00337FC7" w:rsidRPr="00337FC7" w:rsidRDefault="007F08CF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sądu apelacyjnego, w obszarze którego zostało popełnione przestępstwo.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7F08CF" w:rsidRDefault="007F08CF" w:rsidP="007F08CF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7F08CF">
        <w:rPr>
          <w:rFonts w:ascii="Arial" w:hAnsi="Arial" w:cs="Arial"/>
          <w:b/>
          <w:szCs w:val="24"/>
        </w:rPr>
        <w:t>31</w:t>
      </w:r>
      <w:r w:rsidR="00337FC7" w:rsidRPr="007F08CF">
        <w:rPr>
          <w:rFonts w:ascii="Arial" w:hAnsi="Arial" w:cs="Arial"/>
          <w:b/>
          <w:szCs w:val="24"/>
        </w:rPr>
        <w:t>. Zgodnie z Kodeksem postępowania karnego, zażalenie przysługuje na postanowienie sądu:</w:t>
      </w:r>
    </w:p>
    <w:p w:rsidR="00337FC7" w:rsidRPr="00337FC7" w:rsidRDefault="007F08CF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o oddaleniu wniosku dowodo</w:t>
      </w:r>
      <w:r w:rsidR="00247239">
        <w:rPr>
          <w:rFonts w:ascii="Arial" w:hAnsi="Arial" w:cs="Arial"/>
          <w:szCs w:val="24"/>
        </w:rPr>
        <w:t>wego;</w:t>
      </w:r>
    </w:p>
    <w:p w:rsidR="00337FC7" w:rsidRPr="00337FC7" w:rsidRDefault="007F08CF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w </w:t>
      </w:r>
      <w:r w:rsidR="00247239">
        <w:rPr>
          <w:rFonts w:ascii="Arial" w:hAnsi="Arial" w:cs="Arial"/>
          <w:szCs w:val="24"/>
        </w:rPr>
        <w:t>przedmiocie wyłączenia sędziego;</w:t>
      </w:r>
    </w:p>
    <w:p w:rsidR="00337FC7" w:rsidRPr="00F029B7" w:rsidRDefault="007F08CF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c)</w:t>
      </w:r>
      <w:r w:rsidR="00337FC7" w:rsidRPr="00F029B7">
        <w:rPr>
          <w:rFonts w:ascii="Arial" w:hAnsi="Arial" w:cs="Arial"/>
          <w:b/>
          <w:szCs w:val="24"/>
        </w:rPr>
        <w:t xml:space="preserve"> co do środka zabezpieczającego.</w:t>
      </w:r>
    </w:p>
    <w:p w:rsidR="00337FC7" w:rsidRPr="00F029B7" w:rsidRDefault="00337FC7" w:rsidP="00337FC7">
      <w:pPr>
        <w:spacing w:line="276" w:lineRule="auto"/>
        <w:rPr>
          <w:rFonts w:ascii="Arial" w:hAnsi="Arial" w:cs="Arial"/>
          <w:b/>
          <w:szCs w:val="24"/>
        </w:rPr>
      </w:pPr>
    </w:p>
    <w:p w:rsidR="00337FC7" w:rsidRPr="008F5DE7" w:rsidRDefault="007F08CF" w:rsidP="00337FC7">
      <w:pPr>
        <w:spacing w:line="276" w:lineRule="auto"/>
        <w:rPr>
          <w:rFonts w:ascii="Arial" w:hAnsi="Arial" w:cs="Arial"/>
          <w:b/>
          <w:szCs w:val="24"/>
        </w:rPr>
      </w:pPr>
      <w:r w:rsidRPr="008F5DE7">
        <w:rPr>
          <w:rFonts w:ascii="Arial" w:hAnsi="Arial" w:cs="Arial"/>
          <w:b/>
          <w:szCs w:val="24"/>
        </w:rPr>
        <w:t>32</w:t>
      </w:r>
      <w:r w:rsidR="00337FC7" w:rsidRPr="008F5DE7">
        <w:rPr>
          <w:rFonts w:ascii="Arial" w:hAnsi="Arial" w:cs="Arial"/>
          <w:b/>
          <w:szCs w:val="24"/>
        </w:rPr>
        <w:t>. Zgodnie z Kodeksem postępowania karnego, wydanie wyroku nakazowego jest niedopuszczalne:</w:t>
      </w:r>
    </w:p>
    <w:p w:rsidR="00337FC7" w:rsidRPr="00337FC7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w stosunku do osoby pozbawionej w</w:t>
      </w:r>
      <w:r w:rsidR="00247239">
        <w:rPr>
          <w:rFonts w:ascii="Arial" w:hAnsi="Arial" w:cs="Arial"/>
          <w:szCs w:val="24"/>
        </w:rPr>
        <w:t>olności w tej lub innej sprawie;</w:t>
      </w:r>
    </w:p>
    <w:p w:rsidR="00337FC7" w:rsidRPr="00F029B7" w:rsidRDefault="008F5DE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b)</w:t>
      </w:r>
      <w:r w:rsidR="00337FC7" w:rsidRPr="00F029B7">
        <w:rPr>
          <w:rFonts w:ascii="Arial" w:hAnsi="Arial" w:cs="Arial"/>
          <w:b/>
          <w:szCs w:val="24"/>
        </w:rPr>
        <w:t xml:space="preserve"> w </w:t>
      </w:r>
      <w:r w:rsidR="00247239">
        <w:rPr>
          <w:rFonts w:ascii="Arial" w:hAnsi="Arial" w:cs="Arial"/>
          <w:b/>
          <w:szCs w:val="24"/>
        </w:rPr>
        <w:t>sprawie z oskarżenia prywatnego;</w:t>
      </w:r>
    </w:p>
    <w:p w:rsidR="00247239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jeżeli zachodzą warunki do orzeczenia kary ograniczenia wolności w stosunku do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37FC7" w:rsidRPr="00337FC7">
        <w:rPr>
          <w:rFonts w:ascii="Arial" w:hAnsi="Arial" w:cs="Arial"/>
          <w:szCs w:val="24"/>
        </w:rPr>
        <w:t>oskarżonego.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8F5DE7" w:rsidRDefault="008F5DE7" w:rsidP="008F5DE7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8F5DE7">
        <w:rPr>
          <w:rFonts w:ascii="Arial" w:hAnsi="Arial" w:cs="Arial"/>
          <w:b/>
          <w:szCs w:val="24"/>
        </w:rPr>
        <w:t>33</w:t>
      </w:r>
      <w:r w:rsidR="00337FC7" w:rsidRPr="008F5DE7">
        <w:rPr>
          <w:rFonts w:ascii="Arial" w:hAnsi="Arial" w:cs="Arial"/>
          <w:b/>
          <w:szCs w:val="24"/>
        </w:rPr>
        <w:t>. Zgodnie z Kodeksem wykroczeń, karę za podżeganie lub za pomocnictwo wymierza się:</w:t>
      </w:r>
    </w:p>
    <w:p w:rsidR="00247239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337FC7" w:rsidRPr="00337FC7">
        <w:rPr>
          <w:rFonts w:ascii="Arial" w:hAnsi="Arial" w:cs="Arial"/>
          <w:szCs w:val="24"/>
        </w:rPr>
        <w:t xml:space="preserve">od jednej trzeciej dolnej granicy ustawowego zagrożenia przewidzianego dla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37FC7" w:rsidRPr="00337FC7">
        <w:rPr>
          <w:rFonts w:ascii="Arial" w:hAnsi="Arial" w:cs="Arial"/>
          <w:szCs w:val="24"/>
        </w:rPr>
        <w:t>danego wykroczenia do</w:t>
      </w:r>
      <w:r>
        <w:rPr>
          <w:rFonts w:ascii="Arial" w:hAnsi="Arial" w:cs="Arial"/>
          <w:szCs w:val="24"/>
        </w:rPr>
        <w:t xml:space="preserve"> górnej granicy tego zagrożenia;</w:t>
      </w:r>
    </w:p>
    <w:p w:rsidR="00247239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337FC7" w:rsidRPr="00337FC7">
        <w:rPr>
          <w:rFonts w:ascii="Arial" w:hAnsi="Arial" w:cs="Arial"/>
          <w:szCs w:val="24"/>
        </w:rPr>
        <w:t xml:space="preserve">od jednej drugiej dolnej granicy ustawowego zagrożenia przewidzianego dla danego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37FC7" w:rsidRPr="00337FC7">
        <w:rPr>
          <w:rFonts w:ascii="Arial" w:hAnsi="Arial" w:cs="Arial"/>
          <w:szCs w:val="24"/>
        </w:rPr>
        <w:t>wykroczenia do</w:t>
      </w:r>
      <w:r>
        <w:rPr>
          <w:rFonts w:ascii="Arial" w:hAnsi="Arial" w:cs="Arial"/>
          <w:szCs w:val="24"/>
        </w:rPr>
        <w:t xml:space="preserve"> górnej granicy tego zagrożenia;</w:t>
      </w:r>
    </w:p>
    <w:p w:rsidR="00337FC7" w:rsidRPr="00F029B7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="00337FC7" w:rsidRPr="00F029B7">
        <w:rPr>
          <w:rFonts w:ascii="Arial" w:hAnsi="Arial" w:cs="Arial"/>
          <w:b/>
          <w:szCs w:val="24"/>
        </w:rPr>
        <w:t>w granicach zagrożenia przewidzianego dla danego wykroczenia.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8F5DE7" w:rsidRDefault="008F5DE7" w:rsidP="008F5DE7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8F5DE7">
        <w:rPr>
          <w:rFonts w:ascii="Arial" w:hAnsi="Arial" w:cs="Arial"/>
          <w:b/>
          <w:szCs w:val="24"/>
        </w:rPr>
        <w:t>34</w:t>
      </w:r>
      <w:r w:rsidR="00337FC7" w:rsidRPr="008F5DE7">
        <w:rPr>
          <w:rFonts w:ascii="Arial" w:hAnsi="Arial" w:cs="Arial"/>
          <w:b/>
          <w:szCs w:val="24"/>
        </w:rPr>
        <w:t>. Zgodnie z Kodeksem postępowania karnego, jeżeli zachodzą warunki do orzeczenia kary łącznej w stosunku do osoby prawomocnie skazanej wyrokami różnych sądów, o karze łącznej orzeka ten z sądów, który:</w:t>
      </w:r>
    </w:p>
    <w:p w:rsidR="00247239" w:rsidRDefault="008F5DE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a)</w:t>
      </w:r>
      <w:r w:rsidR="00337FC7" w:rsidRPr="001A28AF">
        <w:rPr>
          <w:rFonts w:ascii="Arial" w:hAnsi="Arial" w:cs="Arial"/>
          <w:b/>
          <w:szCs w:val="24"/>
        </w:rPr>
        <w:t xml:space="preserve"> wydał ostatni wyrok skazujący w pierwszej instancji, orzekający kary </w:t>
      </w:r>
    </w:p>
    <w:p w:rsidR="00337FC7" w:rsidRPr="001A28AF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podlegające łączeniu;</w:t>
      </w:r>
    </w:p>
    <w:p w:rsidR="00337FC7" w:rsidRPr="00337FC7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wymierzył kar</w:t>
      </w:r>
      <w:r w:rsidR="00247239">
        <w:rPr>
          <w:rFonts w:ascii="Arial" w:hAnsi="Arial" w:cs="Arial"/>
          <w:szCs w:val="24"/>
        </w:rPr>
        <w:t>ę surowszą podlegającą łączeniu;</w:t>
      </w:r>
    </w:p>
    <w:p w:rsidR="00247239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337FC7" w:rsidRPr="00337FC7">
        <w:rPr>
          <w:rFonts w:ascii="Arial" w:hAnsi="Arial" w:cs="Arial"/>
          <w:szCs w:val="24"/>
        </w:rPr>
        <w:t xml:space="preserve"> wydał pierwszy wyrok skazujący w pierwszej instancji, orzekający kary podlegające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37FC7" w:rsidRPr="00337FC7">
        <w:rPr>
          <w:rFonts w:ascii="Arial" w:hAnsi="Arial" w:cs="Arial"/>
          <w:szCs w:val="24"/>
        </w:rPr>
        <w:t>łączeniu.</w:t>
      </w:r>
    </w:p>
    <w:p w:rsidR="00337FC7" w:rsidRPr="00337FC7" w:rsidRDefault="00337FC7" w:rsidP="00337FC7">
      <w:pPr>
        <w:spacing w:line="276" w:lineRule="auto"/>
        <w:rPr>
          <w:rFonts w:ascii="Arial" w:hAnsi="Arial" w:cs="Arial"/>
          <w:szCs w:val="24"/>
        </w:rPr>
      </w:pPr>
    </w:p>
    <w:p w:rsidR="00337FC7" w:rsidRPr="008F5DE7" w:rsidRDefault="008F5DE7" w:rsidP="00337FC7">
      <w:pPr>
        <w:spacing w:line="276" w:lineRule="auto"/>
        <w:rPr>
          <w:rFonts w:ascii="Arial" w:hAnsi="Arial" w:cs="Arial"/>
          <w:b/>
          <w:szCs w:val="24"/>
        </w:rPr>
      </w:pPr>
      <w:r w:rsidRPr="008F5DE7">
        <w:rPr>
          <w:rFonts w:ascii="Arial" w:hAnsi="Arial" w:cs="Arial"/>
          <w:b/>
          <w:szCs w:val="24"/>
        </w:rPr>
        <w:t>35</w:t>
      </w:r>
      <w:r w:rsidR="00337FC7" w:rsidRPr="008F5DE7">
        <w:rPr>
          <w:rFonts w:ascii="Arial" w:hAnsi="Arial" w:cs="Arial"/>
          <w:b/>
          <w:szCs w:val="24"/>
        </w:rPr>
        <w:t>. Zgodnie z Kodeksem wykroczeń, ukaranemu co najmniej dwukrotnie za podobne wykroczenia umyślne, który w ciągu dwóch lat od ostatniego ukarania popełnia ponownie podobne wykroczenie umyślne, można wymierzyć:</w:t>
      </w:r>
    </w:p>
    <w:p w:rsidR="00247239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karę grzywny lub karę ograniczenia wolności w wymiarze do górnej granicy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37FC7" w:rsidRPr="00337FC7">
        <w:rPr>
          <w:rFonts w:ascii="Arial" w:hAnsi="Arial" w:cs="Arial"/>
          <w:szCs w:val="24"/>
        </w:rPr>
        <w:t>ustawowego z</w:t>
      </w:r>
      <w:r>
        <w:rPr>
          <w:rFonts w:ascii="Arial" w:hAnsi="Arial" w:cs="Arial"/>
          <w:szCs w:val="24"/>
        </w:rPr>
        <w:t>agrożenia podwyższonej o połowę;</w:t>
      </w:r>
    </w:p>
    <w:p w:rsidR="00247239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337FC7" w:rsidRPr="00337FC7">
        <w:rPr>
          <w:rFonts w:ascii="Arial" w:hAnsi="Arial" w:cs="Arial"/>
          <w:szCs w:val="24"/>
        </w:rPr>
        <w:t xml:space="preserve"> karę nagany obok orzeczonej kary grzywny, kary ograniczenia wolności lub kary </w:t>
      </w:r>
    </w:p>
    <w:p w:rsidR="00337FC7" w:rsidRPr="00337FC7" w:rsidRDefault="00247239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aresztu;</w:t>
      </w:r>
    </w:p>
    <w:p w:rsidR="00337FC7" w:rsidRPr="001A28AF" w:rsidRDefault="008F5DE7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c)</w:t>
      </w:r>
      <w:r w:rsidR="00337FC7" w:rsidRPr="001A28AF">
        <w:rPr>
          <w:rFonts w:ascii="Arial" w:hAnsi="Arial" w:cs="Arial"/>
          <w:b/>
          <w:szCs w:val="24"/>
        </w:rPr>
        <w:t xml:space="preserve"> karę aresztu, choćby wykroczenie to było zagrożone karą łagodniejszą.</w:t>
      </w:r>
    </w:p>
    <w:p w:rsidR="00337FC7" w:rsidRPr="001A28AF" w:rsidRDefault="00337FC7" w:rsidP="00337FC7">
      <w:pPr>
        <w:spacing w:line="276" w:lineRule="auto"/>
        <w:rPr>
          <w:rFonts w:ascii="Arial" w:hAnsi="Arial" w:cs="Arial"/>
          <w:b/>
          <w:szCs w:val="24"/>
        </w:rPr>
      </w:pPr>
    </w:p>
    <w:p w:rsidR="00337FC7" w:rsidRPr="008F5DE7" w:rsidRDefault="008F5DE7" w:rsidP="00337FC7">
      <w:pPr>
        <w:spacing w:line="276" w:lineRule="auto"/>
        <w:rPr>
          <w:rFonts w:ascii="Arial" w:hAnsi="Arial" w:cs="Arial"/>
          <w:b/>
          <w:szCs w:val="24"/>
        </w:rPr>
      </w:pPr>
      <w:r w:rsidRPr="008F5DE7">
        <w:rPr>
          <w:rFonts w:ascii="Arial" w:hAnsi="Arial" w:cs="Arial"/>
          <w:b/>
          <w:szCs w:val="24"/>
        </w:rPr>
        <w:t>36</w:t>
      </w:r>
      <w:r w:rsidR="00337FC7" w:rsidRPr="008F5DE7">
        <w:rPr>
          <w:rFonts w:ascii="Arial" w:hAnsi="Arial" w:cs="Arial"/>
          <w:b/>
          <w:szCs w:val="24"/>
        </w:rPr>
        <w:t>. Zgodnie z Kodeksem wykroczeń, wykroczenie można popełnić:</w:t>
      </w:r>
    </w:p>
    <w:p w:rsidR="00337FC7" w:rsidRPr="00337FC7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</w:t>
      </w:r>
      <w:r w:rsidR="00337FC7" w:rsidRPr="00337FC7">
        <w:rPr>
          <w:rFonts w:ascii="Arial" w:hAnsi="Arial" w:cs="Arial"/>
          <w:szCs w:val="24"/>
        </w:rPr>
        <w:t xml:space="preserve"> </w:t>
      </w:r>
      <w:r w:rsidR="00247239">
        <w:rPr>
          <w:rFonts w:ascii="Arial" w:hAnsi="Arial" w:cs="Arial"/>
          <w:szCs w:val="24"/>
        </w:rPr>
        <w:t>w każdym wypadku tylko umyślnie;</w:t>
      </w:r>
    </w:p>
    <w:p w:rsidR="00247239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b) </w:t>
      </w:r>
      <w:r w:rsidR="00337FC7" w:rsidRPr="001A28AF">
        <w:rPr>
          <w:rFonts w:ascii="Arial" w:hAnsi="Arial" w:cs="Arial"/>
          <w:b/>
          <w:szCs w:val="24"/>
        </w:rPr>
        <w:t xml:space="preserve">zarówno umyślnie, jak i nieumyślnie, chyba że ustawa przewiduje </w:t>
      </w:r>
    </w:p>
    <w:p w:rsidR="00337FC7" w:rsidRPr="001A28AF" w:rsidRDefault="00247239" w:rsidP="00337FC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o</w:t>
      </w:r>
      <w:r w:rsidR="00337FC7" w:rsidRPr="001A28AF">
        <w:rPr>
          <w:rFonts w:ascii="Arial" w:hAnsi="Arial" w:cs="Arial"/>
          <w:b/>
          <w:szCs w:val="24"/>
        </w:rPr>
        <w:t>dpowiedzialno</w:t>
      </w:r>
      <w:r>
        <w:rPr>
          <w:rFonts w:ascii="Arial" w:hAnsi="Arial" w:cs="Arial"/>
          <w:b/>
          <w:szCs w:val="24"/>
        </w:rPr>
        <w:t>ść tylko za wykroczenie umyślne;</w:t>
      </w:r>
    </w:p>
    <w:p w:rsidR="00337FC7" w:rsidRPr="00337FC7" w:rsidRDefault="008F5DE7" w:rsidP="00337FC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c)</w:t>
      </w:r>
      <w:r w:rsidR="00337FC7" w:rsidRPr="00337FC7">
        <w:rPr>
          <w:rFonts w:ascii="Arial" w:hAnsi="Arial" w:cs="Arial"/>
          <w:szCs w:val="24"/>
        </w:rPr>
        <w:t xml:space="preserve"> w każdym wypadku zarówno umyślnie, jak i nieumyślnie.</w:t>
      </w:r>
    </w:p>
    <w:p w:rsidR="00003C12" w:rsidRPr="00337FC7" w:rsidRDefault="00003C12" w:rsidP="00802BE6">
      <w:pPr>
        <w:spacing w:line="276" w:lineRule="auto"/>
        <w:jc w:val="left"/>
        <w:rPr>
          <w:rFonts w:ascii="Arial" w:eastAsia="Calibri" w:hAnsi="Arial" w:cs="Arial"/>
          <w:color w:val="000000" w:themeColor="text1"/>
          <w:kern w:val="2"/>
          <w:szCs w:val="24"/>
          <w:shd w:val="clear" w:color="auto" w:fill="FFFFFF"/>
        </w:rPr>
      </w:pPr>
    </w:p>
    <w:p w:rsidR="00003C12" w:rsidRPr="00337FC7" w:rsidRDefault="00003C12" w:rsidP="00802BE6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  <w:shd w:val="clear" w:color="auto" w:fill="FFFFFF"/>
        </w:rPr>
      </w:pPr>
    </w:p>
    <w:p w:rsidR="00003C12" w:rsidRPr="00337FC7" w:rsidRDefault="00003C12" w:rsidP="00D65253">
      <w:pPr>
        <w:spacing w:line="276" w:lineRule="auto"/>
        <w:jc w:val="left"/>
        <w:rPr>
          <w:rFonts w:ascii="Arial" w:eastAsia="Calibri" w:hAnsi="Arial" w:cs="Arial"/>
          <w:b/>
          <w:bCs/>
          <w:color w:val="000000" w:themeColor="text1"/>
          <w:kern w:val="2"/>
          <w:szCs w:val="24"/>
        </w:rPr>
      </w:pPr>
    </w:p>
    <w:p w:rsidR="00003C12" w:rsidRPr="00337FC7" w:rsidRDefault="00003C12" w:rsidP="00D65253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sectPr w:rsidR="00003C12" w:rsidRPr="00337FC7" w:rsidSect="00D8529E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940" w:rsidRDefault="00484940" w:rsidP="00911F3E">
      <w:pPr>
        <w:spacing w:line="240" w:lineRule="auto"/>
      </w:pPr>
      <w:r>
        <w:separator/>
      </w:r>
    </w:p>
  </w:endnote>
  <w:endnote w:type="continuationSeparator" w:id="0">
    <w:p w:rsidR="00484940" w:rsidRDefault="00484940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91760" w:rsidRDefault="0099176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8061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8061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940" w:rsidRDefault="00484940" w:rsidP="00911F3E">
      <w:pPr>
        <w:spacing w:line="240" w:lineRule="auto"/>
      </w:pPr>
      <w:r>
        <w:separator/>
      </w:r>
    </w:p>
  </w:footnote>
  <w:footnote w:type="continuationSeparator" w:id="0">
    <w:p w:rsidR="00484940" w:rsidRDefault="00484940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380"/>
    <w:multiLevelType w:val="hybridMultilevel"/>
    <w:tmpl w:val="4118BC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4F39"/>
    <w:multiLevelType w:val="hybridMultilevel"/>
    <w:tmpl w:val="1CBCCBFE"/>
    <w:lvl w:ilvl="0" w:tplc="77103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A84E7E"/>
    <w:multiLevelType w:val="hybridMultilevel"/>
    <w:tmpl w:val="CA9690F6"/>
    <w:lvl w:ilvl="0" w:tplc="7138D8F4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2D77A7"/>
    <w:multiLevelType w:val="hybridMultilevel"/>
    <w:tmpl w:val="E3A82DB4"/>
    <w:lvl w:ilvl="0" w:tplc="4FC0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6029A9"/>
    <w:multiLevelType w:val="hybridMultilevel"/>
    <w:tmpl w:val="8230E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21B1"/>
    <w:multiLevelType w:val="hybridMultilevel"/>
    <w:tmpl w:val="36026F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E102B"/>
    <w:multiLevelType w:val="hybridMultilevel"/>
    <w:tmpl w:val="AD9CD7F0"/>
    <w:lvl w:ilvl="0" w:tplc="D1067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D6E25"/>
    <w:multiLevelType w:val="hybridMultilevel"/>
    <w:tmpl w:val="F1200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A0A02"/>
    <w:multiLevelType w:val="hybridMultilevel"/>
    <w:tmpl w:val="81CC1732"/>
    <w:lvl w:ilvl="0" w:tplc="4E989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01B4A"/>
    <w:multiLevelType w:val="hybridMultilevel"/>
    <w:tmpl w:val="F46C957E"/>
    <w:lvl w:ilvl="0" w:tplc="A55C614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102179"/>
    <w:multiLevelType w:val="hybridMultilevel"/>
    <w:tmpl w:val="B3E6FF0A"/>
    <w:lvl w:ilvl="0" w:tplc="B2701F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316914"/>
    <w:multiLevelType w:val="hybridMultilevel"/>
    <w:tmpl w:val="F78A20BA"/>
    <w:lvl w:ilvl="0" w:tplc="8620EE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763F33"/>
    <w:multiLevelType w:val="hybridMultilevel"/>
    <w:tmpl w:val="1B062D1E"/>
    <w:lvl w:ilvl="0" w:tplc="7EF4E1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6F5128"/>
    <w:multiLevelType w:val="hybridMultilevel"/>
    <w:tmpl w:val="55227B10"/>
    <w:lvl w:ilvl="0" w:tplc="864C8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31159"/>
    <w:multiLevelType w:val="hybridMultilevel"/>
    <w:tmpl w:val="C1BA9BAE"/>
    <w:lvl w:ilvl="0" w:tplc="F55C70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0407B"/>
    <w:multiLevelType w:val="hybridMultilevel"/>
    <w:tmpl w:val="34CA749A"/>
    <w:lvl w:ilvl="0" w:tplc="DA56D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8409BA"/>
    <w:multiLevelType w:val="hybridMultilevel"/>
    <w:tmpl w:val="3A1CD430"/>
    <w:lvl w:ilvl="0" w:tplc="DA2A2B16">
      <w:start w:val="1"/>
      <w:numFmt w:val="lowerLetter"/>
      <w:lvlText w:val="%1)"/>
      <w:lvlJc w:val="left"/>
      <w:pPr>
        <w:ind w:left="1068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C5E3516"/>
    <w:multiLevelType w:val="hybridMultilevel"/>
    <w:tmpl w:val="973A2402"/>
    <w:lvl w:ilvl="0" w:tplc="DF685C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D52CD"/>
    <w:multiLevelType w:val="hybridMultilevel"/>
    <w:tmpl w:val="42BA51CC"/>
    <w:lvl w:ilvl="0" w:tplc="F656CC9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86705"/>
    <w:multiLevelType w:val="hybridMultilevel"/>
    <w:tmpl w:val="B0E27420"/>
    <w:lvl w:ilvl="0" w:tplc="FA6C97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3B7C51"/>
    <w:multiLevelType w:val="hybridMultilevel"/>
    <w:tmpl w:val="609CDD5A"/>
    <w:lvl w:ilvl="0" w:tplc="51384A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3676C"/>
    <w:multiLevelType w:val="hybridMultilevel"/>
    <w:tmpl w:val="E67A7D4E"/>
    <w:lvl w:ilvl="0" w:tplc="39CCC1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7774A0"/>
    <w:multiLevelType w:val="hybridMultilevel"/>
    <w:tmpl w:val="4216DB7E"/>
    <w:lvl w:ilvl="0" w:tplc="6E369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A963FF"/>
    <w:multiLevelType w:val="hybridMultilevel"/>
    <w:tmpl w:val="EAF0A7D6"/>
    <w:lvl w:ilvl="0" w:tplc="07D4CF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8D1481"/>
    <w:multiLevelType w:val="hybridMultilevel"/>
    <w:tmpl w:val="AF12EFB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3D4B66"/>
    <w:multiLevelType w:val="hybridMultilevel"/>
    <w:tmpl w:val="F35CB850"/>
    <w:lvl w:ilvl="0" w:tplc="7C4AA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4B7FED"/>
    <w:multiLevelType w:val="hybridMultilevel"/>
    <w:tmpl w:val="7AB847EA"/>
    <w:lvl w:ilvl="0" w:tplc="6B1A36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E6821"/>
    <w:multiLevelType w:val="hybridMultilevel"/>
    <w:tmpl w:val="31980076"/>
    <w:lvl w:ilvl="0" w:tplc="A1DC02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2F79"/>
    <w:multiLevelType w:val="hybridMultilevel"/>
    <w:tmpl w:val="1460E8A0"/>
    <w:lvl w:ilvl="0" w:tplc="C4C407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0690A"/>
    <w:multiLevelType w:val="hybridMultilevel"/>
    <w:tmpl w:val="78026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271BC"/>
    <w:multiLevelType w:val="hybridMultilevel"/>
    <w:tmpl w:val="A5181EB8"/>
    <w:lvl w:ilvl="0" w:tplc="5AC256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56533C"/>
    <w:multiLevelType w:val="hybridMultilevel"/>
    <w:tmpl w:val="6AF22D44"/>
    <w:lvl w:ilvl="0" w:tplc="36024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B00958"/>
    <w:multiLevelType w:val="hybridMultilevel"/>
    <w:tmpl w:val="21120ABE"/>
    <w:lvl w:ilvl="0" w:tplc="7A300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EF4923"/>
    <w:multiLevelType w:val="hybridMultilevel"/>
    <w:tmpl w:val="1304F6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44B7F"/>
    <w:multiLevelType w:val="hybridMultilevel"/>
    <w:tmpl w:val="7AD242A0"/>
    <w:lvl w:ilvl="0" w:tplc="3F6C5D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B579B2"/>
    <w:multiLevelType w:val="hybridMultilevel"/>
    <w:tmpl w:val="0F022B5A"/>
    <w:lvl w:ilvl="0" w:tplc="7B6A00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097F4A"/>
    <w:multiLevelType w:val="hybridMultilevel"/>
    <w:tmpl w:val="6AFEF5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37388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51F3154"/>
    <w:multiLevelType w:val="hybridMultilevel"/>
    <w:tmpl w:val="0B7CD0DA"/>
    <w:lvl w:ilvl="0" w:tplc="7C9E51A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4375AD"/>
    <w:multiLevelType w:val="hybridMultilevel"/>
    <w:tmpl w:val="95C412EC"/>
    <w:lvl w:ilvl="0" w:tplc="78F486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BCA682C"/>
    <w:multiLevelType w:val="hybridMultilevel"/>
    <w:tmpl w:val="00D40B20"/>
    <w:lvl w:ilvl="0" w:tplc="554A6B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0E3A46"/>
    <w:multiLevelType w:val="hybridMultilevel"/>
    <w:tmpl w:val="D8B2C306"/>
    <w:lvl w:ilvl="0" w:tplc="54D4C3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CE47A5"/>
    <w:multiLevelType w:val="hybridMultilevel"/>
    <w:tmpl w:val="09FC51F6"/>
    <w:lvl w:ilvl="0" w:tplc="DDCC72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965685"/>
    <w:multiLevelType w:val="hybridMultilevel"/>
    <w:tmpl w:val="EE5A8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D50A1"/>
    <w:multiLevelType w:val="hybridMultilevel"/>
    <w:tmpl w:val="B7B654A0"/>
    <w:lvl w:ilvl="0" w:tplc="DAC09A7A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63C43"/>
    <w:multiLevelType w:val="hybridMultilevel"/>
    <w:tmpl w:val="1A766F56"/>
    <w:lvl w:ilvl="0" w:tplc="CCA8E79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FB0149"/>
    <w:multiLevelType w:val="hybridMultilevel"/>
    <w:tmpl w:val="596E6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46F39"/>
    <w:multiLevelType w:val="hybridMultilevel"/>
    <w:tmpl w:val="08AE809A"/>
    <w:lvl w:ilvl="0" w:tplc="55E23830">
      <w:start w:val="1"/>
      <w:numFmt w:val="upp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9"/>
  </w:num>
  <w:num w:numId="3">
    <w:abstractNumId w:val="13"/>
  </w:num>
  <w:num w:numId="4">
    <w:abstractNumId w:val="3"/>
  </w:num>
  <w:num w:numId="5">
    <w:abstractNumId w:val="8"/>
  </w:num>
  <w:num w:numId="6">
    <w:abstractNumId w:val="15"/>
  </w:num>
  <w:num w:numId="7">
    <w:abstractNumId w:val="21"/>
  </w:num>
  <w:num w:numId="8">
    <w:abstractNumId w:val="31"/>
  </w:num>
  <w:num w:numId="9">
    <w:abstractNumId w:val="11"/>
  </w:num>
  <w:num w:numId="10">
    <w:abstractNumId w:val="41"/>
  </w:num>
  <w:num w:numId="11">
    <w:abstractNumId w:val="1"/>
  </w:num>
  <w:num w:numId="12">
    <w:abstractNumId w:val="25"/>
  </w:num>
  <w:num w:numId="13">
    <w:abstractNumId w:val="37"/>
  </w:num>
  <w:num w:numId="14">
    <w:abstractNumId w:val="24"/>
  </w:num>
  <w:num w:numId="15">
    <w:abstractNumId w:val="22"/>
  </w:num>
  <w:num w:numId="16">
    <w:abstractNumId w:val="32"/>
  </w:num>
  <w:num w:numId="17">
    <w:abstractNumId w:val="14"/>
  </w:num>
  <w:num w:numId="18">
    <w:abstractNumId w:val="42"/>
  </w:num>
  <w:num w:numId="19">
    <w:abstractNumId w:val="35"/>
  </w:num>
  <w:num w:numId="20">
    <w:abstractNumId w:val="16"/>
  </w:num>
  <w:num w:numId="21">
    <w:abstractNumId w:val="47"/>
  </w:num>
  <w:num w:numId="22">
    <w:abstractNumId w:val="18"/>
  </w:num>
  <w:num w:numId="23">
    <w:abstractNumId w:val="36"/>
  </w:num>
  <w:num w:numId="24">
    <w:abstractNumId w:val="7"/>
  </w:num>
  <w:num w:numId="25">
    <w:abstractNumId w:val="34"/>
  </w:num>
  <w:num w:numId="26">
    <w:abstractNumId w:val="6"/>
  </w:num>
  <w:num w:numId="27">
    <w:abstractNumId w:val="46"/>
  </w:num>
  <w:num w:numId="28">
    <w:abstractNumId w:val="0"/>
  </w:num>
  <w:num w:numId="29">
    <w:abstractNumId w:val="26"/>
  </w:num>
  <w:num w:numId="30">
    <w:abstractNumId w:val="5"/>
  </w:num>
  <w:num w:numId="31">
    <w:abstractNumId w:val="17"/>
  </w:num>
  <w:num w:numId="32">
    <w:abstractNumId w:val="28"/>
  </w:num>
  <w:num w:numId="33">
    <w:abstractNumId w:val="27"/>
  </w:num>
  <w:num w:numId="34">
    <w:abstractNumId w:val="4"/>
  </w:num>
  <w:num w:numId="35">
    <w:abstractNumId w:val="43"/>
  </w:num>
  <w:num w:numId="36">
    <w:abstractNumId w:val="33"/>
  </w:num>
  <w:num w:numId="37">
    <w:abstractNumId w:val="20"/>
  </w:num>
  <w:num w:numId="38">
    <w:abstractNumId w:val="29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9"/>
  </w:num>
  <w:num w:numId="44">
    <w:abstractNumId w:val="12"/>
  </w:num>
  <w:num w:numId="45">
    <w:abstractNumId w:val="23"/>
  </w:num>
  <w:num w:numId="46">
    <w:abstractNumId w:val="30"/>
  </w:num>
  <w:num w:numId="47">
    <w:abstractNumId w:val="40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C12"/>
    <w:rsid w:val="0002792A"/>
    <w:rsid w:val="00041129"/>
    <w:rsid w:val="000A66F0"/>
    <w:rsid w:val="000A7AF0"/>
    <w:rsid w:val="000A7BDD"/>
    <w:rsid w:val="000E2B26"/>
    <w:rsid w:val="000F5815"/>
    <w:rsid w:val="00103D31"/>
    <w:rsid w:val="00105A11"/>
    <w:rsid w:val="00123DB0"/>
    <w:rsid w:val="00144545"/>
    <w:rsid w:val="001479CA"/>
    <w:rsid w:val="00156897"/>
    <w:rsid w:val="00161C8A"/>
    <w:rsid w:val="001A28AF"/>
    <w:rsid w:val="001B6285"/>
    <w:rsid w:val="00242738"/>
    <w:rsid w:val="00247239"/>
    <w:rsid w:val="00276A68"/>
    <w:rsid w:val="002B4354"/>
    <w:rsid w:val="002B715B"/>
    <w:rsid w:val="002C67FA"/>
    <w:rsid w:val="002E5D8B"/>
    <w:rsid w:val="00327160"/>
    <w:rsid w:val="00337FC7"/>
    <w:rsid w:val="00343F1F"/>
    <w:rsid w:val="003442BA"/>
    <w:rsid w:val="0035512D"/>
    <w:rsid w:val="00377DEF"/>
    <w:rsid w:val="003D2BF8"/>
    <w:rsid w:val="003E7690"/>
    <w:rsid w:val="004249F7"/>
    <w:rsid w:val="004342B4"/>
    <w:rsid w:val="00446487"/>
    <w:rsid w:val="00452599"/>
    <w:rsid w:val="00465623"/>
    <w:rsid w:val="00484940"/>
    <w:rsid w:val="00497F7B"/>
    <w:rsid w:val="004A1BFB"/>
    <w:rsid w:val="004B7B81"/>
    <w:rsid w:val="004C7F4C"/>
    <w:rsid w:val="004D3FF1"/>
    <w:rsid w:val="004D6452"/>
    <w:rsid w:val="0050055A"/>
    <w:rsid w:val="005033F7"/>
    <w:rsid w:val="00524D7D"/>
    <w:rsid w:val="00531767"/>
    <w:rsid w:val="005470E0"/>
    <w:rsid w:val="00560391"/>
    <w:rsid w:val="005608FF"/>
    <w:rsid w:val="0059446A"/>
    <w:rsid w:val="005A6D75"/>
    <w:rsid w:val="005B1856"/>
    <w:rsid w:val="005B4023"/>
    <w:rsid w:val="005C2F24"/>
    <w:rsid w:val="005C62C3"/>
    <w:rsid w:val="00602358"/>
    <w:rsid w:val="00612FA9"/>
    <w:rsid w:val="00613E8D"/>
    <w:rsid w:val="006349DF"/>
    <w:rsid w:val="006862FF"/>
    <w:rsid w:val="006A35D9"/>
    <w:rsid w:val="006D7012"/>
    <w:rsid w:val="0070532A"/>
    <w:rsid w:val="00706661"/>
    <w:rsid w:val="007414B5"/>
    <w:rsid w:val="00755CD6"/>
    <w:rsid w:val="00787A96"/>
    <w:rsid w:val="007927D6"/>
    <w:rsid w:val="00796484"/>
    <w:rsid w:val="007A2D0C"/>
    <w:rsid w:val="007B22C6"/>
    <w:rsid w:val="007E354B"/>
    <w:rsid w:val="007F08CF"/>
    <w:rsid w:val="007F22F1"/>
    <w:rsid w:val="00802BE6"/>
    <w:rsid w:val="00816F74"/>
    <w:rsid w:val="00856E9E"/>
    <w:rsid w:val="00870BBB"/>
    <w:rsid w:val="0087171D"/>
    <w:rsid w:val="00891937"/>
    <w:rsid w:val="00897E46"/>
    <w:rsid w:val="008A1F9E"/>
    <w:rsid w:val="008A6285"/>
    <w:rsid w:val="008D2025"/>
    <w:rsid w:val="008D34B4"/>
    <w:rsid w:val="008D7CF4"/>
    <w:rsid w:val="008E1DB2"/>
    <w:rsid w:val="008F1273"/>
    <w:rsid w:val="008F4C0F"/>
    <w:rsid w:val="008F5DE7"/>
    <w:rsid w:val="00911F3E"/>
    <w:rsid w:val="00920EFB"/>
    <w:rsid w:val="00945415"/>
    <w:rsid w:val="00950AC5"/>
    <w:rsid w:val="009666D9"/>
    <w:rsid w:val="00984F29"/>
    <w:rsid w:val="00991760"/>
    <w:rsid w:val="00995CE7"/>
    <w:rsid w:val="009A6AD0"/>
    <w:rsid w:val="009B1FDF"/>
    <w:rsid w:val="009D1E7D"/>
    <w:rsid w:val="009D42F1"/>
    <w:rsid w:val="00A00BA9"/>
    <w:rsid w:val="00A01A04"/>
    <w:rsid w:val="00A04447"/>
    <w:rsid w:val="00A36813"/>
    <w:rsid w:val="00A50686"/>
    <w:rsid w:val="00A54599"/>
    <w:rsid w:val="00A64007"/>
    <w:rsid w:val="00A74609"/>
    <w:rsid w:val="00AD06C6"/>
    <w:rsid w:val="00AF0241"/>
    <w:rsid w:val="00AF7635"/>
    <w:rsid w:val="00B06688"/>
    <w:rsid w:val="00B11974"/>
    <w:rsid w:val="00B26B9A"/>
    <w:rsid w:val="00B401A4"/>
    <w:rsid w:val="00B65FA1"/>
    <w:rsid w:val="00B74F16"/>
    <w:rsid w:val="00B8090F"/>
    <w:rsid w:val="00B836A7"/>
    <w:rsid w:val="00B85EA2"/>
    <w:rsid w:val="00BC71C6"/>
    <w:rsid w:val="00C057BC"/>
    <w:rsid w:val="00C329DC"/>
    <w:rsid w:val="00C82E0A"/>
    <w:rsid w:val="00C96CFE"/>
    <w:rsid w:val="00C972C7"/>
    <w:rsid w:val="00C9764E"/>
    <w:rsid w:val="00CA4E92"/>
    <w:rsid w:val="00CD11F2"/>
    <w:rsid w:val="00D036CB"/>
    <w:rsid w:val="00D05FAA"/>
    <w:rsid w:val="00D10E93"/>
    <w:rsid w:val="00D15A32"/>
    <w:rsid w:val="00D26D31"/>
    <w:rsid w:val="00D65253"/>
    <w:rsid w:val="00D8529E"/>
    <w:rsid w:val="00D9374F"/>
    <w:rsid w:val="00DB4E4D"/>
    <w:rsid w:val="00DC23BD"/>
    <w:rsid w:val="00E30C0F"/>
    <w:rsid w:val="00E80615"/>
    <w:rsid w:val="00E80F64"/>
    <w:rsid w:val="00EA05A6"/>
    <w:rsid w:val="00EC5057"/>
    <w:rsid w:val="00F029B7"/>
    <w:rsid w:val="00F133C1"/>
    <w:rsid w:val="00F43BD1"/>
    <w:rsid w:val="00F57BB6"/>
    <w:rsid w:val="00F86680"/>
    <w:rsid w:val="00FA6BA5"/>
    <w:rsid w:val="00FB1BA7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07EAD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2F28-26B3-42B9-BF40-198E3ADA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1688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2025-02-26T09:49:00Z</cp:lastPrinted>
  <dcterms:created xsi:type="dcterms:W3CDTF">2026-07-28T11:39:00Z</dcterms:created>
  <dcterms:modified xsi:type="dcterms:W3CDTF">2026-07-28T11:39:00Z</dcterms:modified>
</cp:coreProperties>
</file>