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84" w:rsidRPr="00E80F64" w:rsidRDefault="00796484" w:rsidP="00822B8B">
      <w:pPr>
        <w:rPr>
          <w:rFonts w:ascii="Arial" w:hAnsi="Arial" w:cs="Arial"/>
          <w:b/>
          <w:szCs w:val="24"/>
        </w:rPr>
      </w:pPr>
      <w:bookmarkStart w:id="0" w:name="_GoBack"/>
      <w:bookmarkEnd w:id="0"/>
    </w:p>
    <w:p w:rsidR="00C972C7" w:rsidRDefault="00796484" w:rsidP="00C972C7">
      <w:pPr>
        <w:ind w:left="567"/>
        <w:jc w:val="center"/>
        <w:rPr>
          <w:rFonts w:ascii="Arial" w:hAnsi="Arial" w:cs="Arial"/>
          <w:b/>
          <w:szCs w:val="24"/>
        </w:rPr>
      </w:pPr>
      <w:r w:rsidRPr="00E80F64">
        <w:rPr>
          <w:rFonts w:ascii="Arial" w:hAnsi="Arial" w:cs="Arial"/>
          <w:b/>
          <w:szCs w:val="24"/>
        </w:rPr>
        <w:t>Konkurs na stanowi</w:t>
      </w:r>
      <w:r w:rsidR="00C972C7">
        <w:rPr>
          <w:rFonts w:ascii="Arial" w:hAnsi="Arial" w:cs="Arial"/>
          <w:b/>
          <w:szCs w:val="24"/>
        </w:rPr>
        <w:t>sko asystenta sędziego w Sądzie Rejonowym dla Warszawy-Mokotowa w Warszawie</w:t>
      </w:r>
    </w:p>
    <w:p w:rsidR="00796484" w:rsidRPr="00E80F64" w:rsidRDefault="000E0EC0" w:rsidP="00C972C7">
      <w:pPr>
        <w:ind w:left="567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OK.110.5.</w:t>
      </w:r>
      <w:r w:rsidR="0032402E">
        <w:rPr>
          <w:rFonts w:ascii="Arial" w:hAnsi="Arial" w:cs="Arial"/>
          <w:b/>
          <w:szCs w:val="24"/>
        </w:rPr>
        <w:t>2024</w:t>
      </w:r>
    </w:p>
    <w:p w:rsidR="00D167E4" w:rsidRDefault="00796484" w:rsidP="00D167E4">
      <w:pPr>
        <w:ind w:left="567"/>
        <w:jc w:val="center"/>
        <w:rPr>
          <w:rFonts w:ascii="Arial" w:hAnsi="Arial" w:cs="Arial"/>
          <w:b/>
          <w:szCs w:val="24"/>
        </w:rPr>
      </w:pPr>
      <w:r w:rsidRPr="007E354B">
        <w:rPr>
          <w:rFonts w:ascii="Arial" w:hAnsi="Arial" w:cs="Arial"/>
          <w:b/>
          <w:szCs w:val="24"/>
        </w:rPr>
        <w:t>TEST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1. </w:t>
      </w: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przepisami Kodeksu postępowania karnego, jeżeli akt oskarżenia </w:t>
      </w:r>
    </w:p>
    <w:p w:rsidR="0087708E" w:rsidRPr="006A5E41" w:rsidRDefault="00D167E4" w:rsidP="00D167E4">
      <w:pPr>
        <w:spacing w:line="240" w:lineRule="auto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    wniósł oskarżyciel publiczny, pokrzywdzony może wstąpić do postępowania     </w:t>
      </w:r>
    </w:p>
    <w:p w:rsidR="0087708E" w:rsidRPr="006A5E41" w:rsidRDefault="0087708E" w:rsidP="0087708E">
      <w:pPr>
        <w:spacing w:line="240" w:lineRule="auto"/>
        <w:rPr>
          <w:rFonts w:ascii="Arial" w:hAnsi="Arial" w:cs="Arial"/>
          <w:b/>
          <w:szCs w:val="24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w charakterze oskarżyciela posiłkowego:</w:t>
      </w:r>
    </w:p>
    <w:p w:rsidR="0087708E" w:rsidRPr="006A5E41" w:rsidRDefault="0087708E" w:rsidP="0087708E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  <w:r w:rsidRPr="006A5E41">
        <w:rPr>
          <w:rFonts w:ascii="Arial" w:hAnsi="Arial" w:cs="Arial"/>
          <w:szCs w:val="24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 xml:space="preserve">w terminie 7 dni od dnia pouczenia go o tym uprawnieniu przez oskarżyciela </w:t>
      </w:r>
    </w:p>
    <w:p w:rsidR="00D167E4" w:rsidRPr="006A5E41" w:rsidRDefault="0087708E" w:rsidP="0087708E">
      <w:pPr>
        <w:spacing w:line="240" w:lineRule="auto"/>
        <w:rPr>
          <w:rFonts w:ascii="Arial" w:hAnsi="Arial" w:cs="Arial"/>
          <w:b/>
          <w:szCs w:val="24"/>
        </w:rPr>
      </w:pPr>
      <w:r w:rsidRPr="006A5E41"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publicznego w związku ze skierowaniem aktu oskarżenia;</w:t>
      </w:r>
    </w:p>
    <w:p w:rsidR="00D167E4" w:rsidRPr="006A5E41" w:rsidRDefault="0087708E" w:rsidP="0087708E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do czasu otwarcia przewodu sądowego na rozprawie głównej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;</w:t>
      </w:r>
    </w:p>
    <w:p w:rsidR="00D167E4" w:rsidRPr="006A5E41" w:rsidRDefault="0087708E" w:rsidP="0087708E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 w:rsidRPr="006A5E41">
        <w:rPr>
          <w:rFonts w:ascii="Arial" w:eastAsia="Times New Roman" w:hAnsi="Arial" w:cs="Arial"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w każdym czasie na rozprawie głównej do zamknięcia przewodu sądowego.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b/>
          <w:szCs w:val="24"/>
          <w:lang w:eastAsia="pl-PL"/>
        </w:rPr>
      </w:pP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2.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Zgodnie z przepisami Kodeksu karnego, środkiem karnym nie jest: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zakaz prowadzenia pojazdów;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podanie wyroku do publicznej wiadomości;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c) przepadek.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3.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przepisami Kodeksu karnego, sąd orzeka obowiązek naprawienia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szkody w trybie art. 46 § 1 k.k.: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na wniosek pokrzywdzonego lub innej osoby uprawnionej;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z urzędu wraz z odsetkami;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nie ma takiego obowiązku.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>4.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przepisami Kodeksu postępowania karnego, zażalenie na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postanowienie prokuratora o umorzeniu śledztwa przysługuje: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pokrzywdzonemu i podejrzanemu;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oskarżycielowi posiłkowemu;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 xml:space="preserve">organizacji społecznej, o której mowa w art. 90 § 1 k.p.k. 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5.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Zażalenie na postanowienie prokuratora o umorzeniu postępowania w 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sprawie o czyn z art. 212 § 1 k.k., w którym prokurator uznał brak interesu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społecznego w ściganiu z urzędu sprawcy, rozpoznaje: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prokurator przełożony;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sąd rejonowy właściwy do rozpoznania sprawy;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c) prokurator nadrzędny.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6.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Subsydiarny akt oskarżenia o czyn z art. 286 § 1 k.k. w zw. z art. 294 § 1 k.k.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radca prawny, będący pełnomocnikiem pokrzywdzonego wnosi: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do sądu rejonowego właściwego do rozpoznania sprawy;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do sądu okręgowego właściwego do rozpoznania sprawy;</w:t>
      </w:r>
    </w:p>
    <w:p w:rsidR="006A5E41" w:rsidRDefault="00783CE4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 xml:space="preserve">zgodnie z przepisami Kodeksu postępowania karnego radca prawny nie może być </w:t>
      </w:r>
      <w:r w:rsidR="006A5E41">
        <w:rPr>
          <w:rFonts w:ascii="Arial" w:eastAsia="Times New Roman" w:hAnsi="Arial" w:cs="Arial"/>
          <w:szCs w:val="24"/>
          <w:lang w:eastAsia="pl-PL"/>
        </w:rPr>
        <w:t xml:space="preserve"> 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pełnomocnikiem pokrzywdzonego.</w:t>
      </w:r>
    </w:p>
    <w:p w:rsidR="00D167E4" w:rsidRDefault="00D167E4" w:rsidP="00D167E4">
      <w:pPr>
        <w:spacing w:line="240" w:lineRule="auto"/>
        <w:ind w:left="1080"/>
        <w:rPr>
          <w:rFonts w:ascii="Arial" w:eastAsia="Times New Roman" w:hAnsi="Arial" w:cs="Arial"/>
          <w:szCs w:val="24"/>
          <w:lang w:eastAsia="pl-PL"/>
        </w:rPr>
      </w:pPr>
    </w:p>
    <w:p w:rsidR="006A5E41" w:rsidRPr="006A5E41" w:rsidRDefault="006A5E41" w:rsidP="00D167E4">
      <w:pPr>
        <w:spacing w:line="240" w:lineRule="auto"/>
        <w:ind w:left="1080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lastRenderedPageBreak/>
        <w:t xml:space="preserve">7.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przepisami Kodeksu karnego, jeżeli przestępstwo zagrożone jest 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tylko karą pozbawienia wolności nieprzekraczającą 8 lat, a wymierzona za 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nie kara pozbawienia wolności nie byłaby surowsza od roku, sąd może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zamiast tej kary orzec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karę ograniczenia wolności nie niższą od 3 miesięcy;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samoistny środek karny;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grzywnę nie niższą od 150 stawek dziennych.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8.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przepisami Kodeksu postępowania karnego w wyroku nakazowym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można orzec grzywnę w wysokości: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do 300 stawek dziennych;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do 400 stawek dziennych;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do 200 stawek dziennych.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b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9.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Nieusprawiedliwione niestawiennictwo prawidłowo zawiadomionych 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oskarżyciela prywatnego oraz jego pełnomocnika na posiedzeniu 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pojednawczym: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powoduje umorzenie postępowania;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jest równoznaczne ze zgodą na skierowanie sprawy do mediacji;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powoduje skierowanie sprawy na rozprawę główną.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10.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Sprzeciw od wyroku nakazowego w postępowaniu karnym: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można wnieść za zgodą sądu;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powoduje utratę mocy wyroku nakazowego;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c) przysługuje jedynie oskarżonemu.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11.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przepisami Kodeksu karnego, sąd nie może orzec kary 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pozbawienia wolności z warunkowym zawieszeniem jej wykonania: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wobec sprawcy występku o charakterze chuligańskim;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wobec sprawcy młodocianego;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jeżeli sprawca w czasie popełnienia przestępstwa był skazany na karę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pozbawienia wolności.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12.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Sądem właściwym do rozpoznania wniosku prokuratora o zastosowanie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tymczasowego aresztowania jest: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sąd okręgowy, gdy zarzut dotyczy zbrodni;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sąd rejonowy;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sąd okręgowy, gdy zarzut dotyczy przestępstwa o charakterze terrorystycznym.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b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13.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Kodeksem postępowania karnego, środkiem zapobiegawczym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nie jest: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tymczasowe aresztowanie;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poręczenie majątkowe;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zabezpieczenie majątkowe.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14.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Wyrokiem nakazowym można orzec:</w:t>
      </w:r>
    </w:p>
    <w:p w:rsidR="00557EFB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 xml:space="preserve">karę pozbawienia wolności do 3 miesięcy z warunkowym zawieszeniem jej </w:t>
      </w:r>
      <w:r w:rsidR="00557EFB">
        <w:rPr>
          <w:rFonts w:ascii="Arial" w:eastAsia="Times New Roman" w:hAnsi="Arial" w:cs="Arial"/>
          <w:szCs w:val="24"/>
          <w:lang w:eastAsia="pl-PL"/>
        </w:rPr>
        <w:t xml:space="preserve"> </w:t>
      </w:r>
    </w:p>
    <w:p w:rsidR="00D167E4" w:rsidRPr="006A5E41" w:rsidRDefault="00557EFB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wykonania;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grzywnę nie niższą niż 100 stawek dziennych;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karę ograniczenia wolności.</w:t>
      </w: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15.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Asystent sędziego, będący osobą upoważnioną przez prezesa sądu do 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spisania protokołu rozprawy, w przypadku, gdy był świadkiem czynu,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którego sprawa dotyczy: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może sporządzić taki protokół;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ulega wyłączeniu z mocy prawa;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ulega wyłączeniu przez sąd, w którym sprawa się toczy.</w:t>
      </w:r>
    </w:p>
    <w:p w:rsidR="00D167E4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61BB9" w:rsidRPr="006A5E41" w:rsidRDefault="00961BB9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16.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Sądem właściwym do rozpoznania sprawy o handel niewolnikami (art. 8 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ustawy z dnia 6 czerwca 1997 r. – Przepisy wprowadzające Kodeks karny)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jest: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Sąd Najwyższy w Izbie Karnej;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sąd rejonowy;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sąd okręgowy.</w:t>
      </w:r>
    </w:p>
    <w:p w:rsidR="00D167E4" w:rsidRDefault="00D167E4" w:rsidP="00D167E4">
      <w:pPr>
        <w:spacing w:line="240" w:lineRule="auto"/>
        <w:ind w:left="720"/>
        <w:rPr>
          <w:rFonts w:ascii="Arial" w:eastAsia="Times New Roman" w:hAnsi="Arial" w:cs="Arial"/>
          <w:b/>
          <w:szCs w:val="24"/>
          <w:lang w:eastAsia="pl-PL"/>
        </w:rPr>
      </w:pPr>
    </w:p>
    <w:p w:rsidR="00961BB9" w:rsidRPr="006A5E41" w:rsidRDefault="00961BB9" w:rsidP="00D167E4">
      <w:pPr>
        <w:spacing w:line="240" w:lineRule="auto"/>
        <w:ind w:left="720"/>
        <w:rPr>
          <w:rFonts w:ascii="Arial" w:eastAsia="Times New Roman" w:hAnsi="Arial" w:cs="Arial"/>
          <w:b/>
          <w:szCs w:val="24"/>
          <w:lang w:eastAsia="pl-PL"/>
        </w:rPr>
      </w:pP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17.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Zgodnie z przepisami Kodeksu karnego sąd może warunkowo umorzyć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postępowanie karne: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wobec sprawcy, który nie był karany;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wobec sprawy karanego za przestępstwo niealimentacji;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wobec sprawcy niekaranego za przestępstwo umyślne.</w:t>
      </w:r>
    </w:p>
    <w:p w:rsidR="00D167E4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61BB9" w:rsidRPr="006A5E41" w:rsidRDefault="00961BB9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 w:rsidRPr="006A5E41">
        <w:rPr>
          <w:rFonts w:ascii="Arial" w:eastAsia="Times New Roman" w:hAnsi="Arial" w:cs="Arial"/>
          <w:b/>
          <w:szCs w:val="24"/>
          <w:lang w:eastAsia="pl-PL"/>
        </w:rPr>
        <w:t xml:space="preserve">18.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Karalność przestępstwa ściganego z oskarżenia prywatnego ustaje: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a)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 xml:space="preserve">z upływem roku od czasu, gdy pokrzywdzony dowiedział się o osobie sprawcy, nie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później jednak niż z upływem 5 lat od jego popełnienia;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b)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 xml:space="preserve">z upływem 3 lat od czasu, gdy pokrzywdzony dowiedział się o osobie sprawcy, nie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szCs w:val="24"/>
          <w:lang w:eastAsia="pl-PL"/>
        </w:rPr>
        <w:t>później jednak niż z upływem 5 lat od jego popełnienia;</w:t>
      </w:r>
    </w:p>
    <w:p w:rsid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c)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 xml:space="preserve">z upływem roku od czasu, gdy pokrzywdzony dowiedział się o osobie </w:t>
      </w:r>
    </w:p>
    <w:p w:rsidR="00D167E4" w:rsidRPr="006A5E41" w:rsidRDefault="006A5E41" w:rsidP="006A5E41">
      <w:pPr>
        <w:spacing w:line="240" w:lineRule="auto"/>
        <w:jc w:val="left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    </w:t>
      </w:r>
      <w:r w:rsidR="00D167E4" w:rsidRPr="006A5E41">
        <w:rPr>
          <w:rFonts w:ascii="Arial" w:eastAsia="Times New Roman" w:hAnsi="Arial" w:cs="Arial"/>
          <w:b/>
          <w:szCs w:val="24"/>
          <w:lang w:eastAsia="pl-PL"/>
        </w:rPr>
        <w:t>sprawcy, nie później jednak niż z upływem 3 lat od jego popełnienia.</w:t>
      </w:r>
    </w:p>
    <w:p w:rsidR="00D167E4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961BB9" w:rsidRPr="006A5E41" w:rsidRDefault="00961BB9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A5E41" w:rsidRDefault="006A5E41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19.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Według Kodeksu cywilnego, w polskim prawie cywilnym zasada </w:t>
      </w:r>
    </w:p>
    <w:p w:rsidR="00D167E4" w:rsidRPr="006A5E41" w:rsidRDefault="006A5E41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bCs/>
          <w:szCs w:val="24"/>
        </w:rPr>
        <w:t>nieretroakcji (zasada, że ustawa nie ma mocy wstecznej):</w:t>
      </w:r>
    </w:p>
    <w:p w:rsidR="00D167E4" w:rsidRPr="006A5E41" w:rsidRDefault="006A5E41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167E4" w:rsidRPr="006A5E41">
        <w:rPr>
          <w:rFonts w:ascii="Arial" w:eastAsia="Calibri" w:hAnsi="Arial" w:cs="Arial"/>
          <w:szCs w:val="24"/>
        </w:rPr>
        <w:t>obowiązuje bezwzględnie,</w:t>
      </w:r>
      <w:r>
        <w:rPr>
          <w:rFonts w:ascii="Arial" w:eastAsia="Calibri" w:hAnsi="Arial" w:cs="Arial"/>
          <w:szCs w:val="24"/>
        </w:rPr>
        <w:t xml:space="preserve"> to znaczy bez żadnych wyjątków;</w:t>
      </w:r>
    </w:p>
    <w:p w:rsidR="000E0EC0" w:rsidRDefault="006A5E41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b) </w:t>
      </w:r>
      <w:r w:rsidR="00D167E4" w:rsidRPr="00961BB9">
        <w:rPr>
          <w:rFonts w:ascii="Arial" w:eastAsia="Calibri" w:hAnsi="Arial" w:cs="Arial"/>
          <w:b/>
          <w:szCs w:val="24"/>
        </w:rPr>
        <w:t xml:space="preserve">obowiązuje, lecz doznaje wyjątku w sytuacji, gdy wynika to z brzmienia </w:t>
      </w:r>
    </w:p>
    <w:p w:rsidR="00D167E4" w:rsidRPr="00961BB9" w:rsidRDefault="000E0EC0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D167E4" w:rsidRPr="00961BB9">
        <w:rPr>
          <w:rFonts w:ascii="Arial" w:eastAsia="Calibri" w:hAnsi="Arial" w:cs="Arial"/>
          <w:b/>
          <w:szCs w:val="24"/>
        </w:rPr>
        <w:t>ustawy</w:t>
      </w:r>
      <w:r w:rsidR="00961BB9" w:rsidRPr="00961BB9">
        <w:rPr>
          <w:rFonts w:ascii="Arial" w:eastAsia="Calibri" w:hAnsi="Arial" w:cs="Arial"/>
          <w:b/>
          <w:szCs w:val="24"/>
        </w:rPr>
        <w:t xml:space="preserve"> </w:t>
      </w:r>
      <w:r>
        <w:rPr>
          <w:rFonts w:ascii="Arial" w:eastAsia="Calibri" w:hAnsi="Arial" w:cs="Arial"/>
          <w:b/>
          <w:szCs w:val="24"/>
        </w:rPr>
        <w:t xml:space="preserve">lub </w:t>
      </w:r>
      <w:r w:rsidR="006A5E41" w:rsidRPr="00961BB9">
        <w:rPr>
          <w:rFonts w:ascii="Arial" w:eastAsia="Calibri" w:hAnsi="Arial" w:cs="Arial"/>
          <w:b/>
          <w:szCs w:val="24"/>
        </w:rPr>
        <w:t>jej celu;</w:t>
      </w:r>
    </w:p>
    <w:p w:rsidR="00D167E4" w:rsidRPr="006A5E41" w:rsidRDefault="006A5E41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>w ogóle nie obowiązuje.</w:t>
      </w:r>
    </w:p>
    <w:p w:rsidR="00D167E4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0E0EC0" w:rsidRPr="006A5E41" w:rsidRDefault="000E0EC0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20.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Według Kodeksu cywilnego, osoba fizyczna, która nie ukończyła lat 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bCs/>
          <w:szCs w:val="24"/>
        </w:rPr>
        <w:t>trzynastu: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a) </w:t>
      </w:r>
      <w:r w:rsidR="00D167E4" w:rsidRPr="00961BB9">
        <w:rPr>
          <w:rFonts w:ascii="Arial" w:eastAsia="Calibri" w:hAnsi="Arial" w:cs="Arial"/>
          <w:b/>
          <w:szCs w:val="24"/>
        </w:rPr>
        <w:t>nie ma zdolności do czynności prawny</w:t>
      </w:r>
      <w:r w:rsidRPr="00961BB9">
        <w:rPr>
          <w:rFonts w:ascii="Arial" w:eastAsia="Calibri" w:hAnsi="Arial" w:cs="Arial"/>
          <w:b/>
          <w:szCs w:val="24"/>
        </w:rPr>
        <w:t>ch;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167E4" w:rsidRPr="006A5E41">
        <w:rPr>
          <w:rFonts w:ascii="Arial" w:eastAsia="Calibri" w:hAnsi="Arial" w:cs="Arial"/>
          <w:szCs w:val="24"/>
        </w:rPr>
        <w:t>ma ograniczoną</w:t>
      </w:r>
      <w:r>
        <w:rPr>
          <w:rFonts w:ascii="Arial" w:eastAsia="Calibri" w:hAnsi="Arial" w:cs="Arial"/>
          <w:szCs w:val="24"/>
        </w:rPr>
        <w:t xml:space="preserve"> zdolność do czynności prawnych;</w:t>
      </w:r>
    </w:p>
    <w:p w:rsidR="00D167E4" w:rsidRDefault="00961BB9" w:rsidP="00D167E4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>ma pełną zdolność do czynności prawnych.</w:t>
      </w:r>
    </w:p>
    <w:p w:rsidR="00961BB9" w:rsidRDefault="00961BB9" w:rsidP="00D167E4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lastRenderedPageBreak/>
        <w:t xml:space="preserve">21.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Według Kodeksu cywilnego, przez uznanie roszczenia przez osobę, </w:t>
      </w:r>
      <w:r>
        <w:rPr>
          <w:rFonts w:ascii="Arial" w:eastAsia="Calibri" w:hAnsi="Arial" w:cs="Arial"/>
          <w:b/>
          <w:bCs/>
          <w:szCs w:val="24"/>
        </w:rPr>
        <w:t xml:space="preserve"> 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bCs/>
          <w:szCs w:val="24"/>
        </w:rPr>
        <w:t>przeciwko której roszczenie przysługuje: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167E4" w:rsidRPr="006A5E41">
        <w:rPr>
          <w:rFonts w:ascii="Arial" w:eastAsia="Calibri" w:hAnsi="Arial" w:cs="Arial"/>
          <w:szCs w:val="24"/>
        </w:rPr>
        <w:t>bieg przedawnienia ulega zawi</w:t>
      </w:r>
      <w:r>
        <w:rPr>
          <w:rFonts w:ascii="Arial" w:eastAsia="Calibri" w:hAnsi="Arial" w:cs="Arial"/>
          <w:szCs w:val="24"/>
        </w:rPr>
        <w:t>eszeniu;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b) </w:t>
      </w:r>
      <w:r>
        <w:rPr>
          <w:rFonts w:ascii="Arial" w:eastAsia="Calibri" w:hAnsi="Arial" w:cs="Arial"/>
          <w:b/>
          <w:szCs w:val="24"/>
        </w:rPr>
        <w:t>bieg przedawnienia przerywa się;</w:t>
      </w:r>
    </w:p>
    <w:p w:rsid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 xml:space="preserve">przedawnienie biegnie w dalszym ciągu, gdyż uznanie roszczenia nie ma wpływu </w:t>
      </w:r>
      <w:r>
        <w:rPr>
          <w:rFonts w:ascii="Arial" w:eastAsia="Calibri" w:hAnsi="Arial" w:cs="Arial"/>
          <w:szCs w:val="24"/>
        </w:rPr>
        <w:t xml:space="preserve">    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167E4" w:rsidRPr="006A5E41">
        <w:rPr>
          <w:rFonts w:ascii="Arial" w:eastAsia="Calibri" w:hAnsi="Arial" w:cs="Arial"/>
          <w:szCs w:val="24"/>
        </w:rPr>
        <w:t>na bieg przedawnienia.</w:t>
      </w:r>
    </w:p>
    <w:p w:rsidR="00D167E4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61BB9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22.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Według Kodeksu cywilnego, roszczenie o zniesienie współwłasności </w:t>
      </w:r>
      <w:r>
        <w:rPr>
          <w:rFonts w:ascii="Arial" w:eastAsia="Calibri" w:hAnsi="Arial" w:cs="Arial"/>
          <w:b/>
          <w:bCs/>
          <w:szCs w:val="24"/>
        </w:rPr>
        <w:t xml:space="preserve"> 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bCs/>
          <w:szCs w:val="24"/>
        </w:rPr>
        <w:t>nieruchomości: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167E4" w:rsidRPr="006A5E41">
        <w:rPr>
          <w:rFonts w:ascii="Arial" w:eastAsia="Calibri" w:hAnsi="Arial" w:cs="Arial"/>
          <w:szCs w:val="24"/>
        </w:rPr>
        <w:t xml:space="preserve">przedawnia się z upływem dwudziestu lat od </w:t>
      </w:r>
      <w:r>
        <w:rPr>
          <w:rFonts w:ascii="Arial" w:eastAsia="Calibri" w:hAnsi="Arial" w:cs="Arial"/>
          <w:szCs w:val="24"/>
        </w:rPr>
        <w:t>nabycia udziału w nieruchomości;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167E4" w:rsidRPr="006A5E41">
        <w:rPr>
          <w:rFonts w:ascii="Arial" w:eastAsia="Calibri" w:hAnsi="Arial" w:cs="Arial"/>
          <w:szCs w:val="24"/>
        </w:rPr>
        <w:t xml:space="preserve">przedawnia się z upływem czterdziestu lat od </w:t>
      </w:r>
      <w:r>
        <w:rPr>
          <w:rFonts w:ascii="Arial" w:eastAsia="Calibri" w:hAnsi="Arial" w:cs="Arial"/>
          <w:szCs w:val="24"/>
        </w:rPr>
        <w:t>nabycia udziału w nieruchomości;</w:t>
      </w:r>
    </w:p>
    <w:p w:rsidR="00D167E4" w:rsidRPr="00961BB9" w:rsidRDefault="00961BB9" w:rsidP="00D167E4">
      <w:pPr>
        <w:tabs>
          <w:tab w:val="center" w:pos="4536"/>
        </w:tabs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c) </w:t>
      </w:r>
      <w:r w:rsidR="00D167E4" w:rsidRPr="00961BB9">
        <w:rPr>
          <w:rFonts w:ascii="Arial" w:eastAsia="Calibri" w:hAnsi="Arial" w:cs="Arial"/>
          <w:b/>
          <w:szCs w:val="24"/>
        </w:rPr>
        <w:t>w</w:t>
      </w:r>
      <w:r w:rsidRPr="00961BB9">
        <w:rPr>
          <w:rFonts w:ascii="Arial" w:eastAsia="Calibri" w:hAnsi="Arial" w:cs="Arial"/>
          <w:b/>
          <w:szCs w:val="24"/>
        </w:rPr>
        <w:t xml:space="preserve"> ogóle nie ulega przedawnieniu.</w:t>
      </w:r>
    </w:p>
    <w:p w:rsidR="00D167E4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61BB9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61BB9" w:rsidRDefault="00961BB9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23.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Zgodnie z Kodeksem cywilnym, jeżeli wysokość odsetek wynikających z </w:t>
      </w:r>
      <w:r>
        <w:rPr>
          <w:rFonts w:ascii="Arial" w:eastAsia="Calibri" w:hAnsi="Arial" w:cs="Arial"/>
          <w:b/>
          <w:bCs/>
          <w:szCs w:val="24"/>
        </w:rPr>
        <w:t xml:space="preserve"> </w:t>
      </w:r>
    </w:p>
    <w:p w:rsidR="00961BB9" w:rsidRDefault="00961BB9" w:rsidP="00961BB9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c</w:t>
      </w:r>
      <w:r w:rsidR="00D167E4" w:rsidRPr="006A5E41">
        <w:rPr>
          <w:rFonts w:ascii="Arial" w:eastAsia="Calibri" w:hAnsi="Arial" w:cs="Arial"/>
          <w:b/>
          <w:bCs/>
          <w:szCs w:val="24"/>
        </w:rPr>
        <w:t>zynności</w:t>
      </w:r>
      <w:r>
        <w:rPr>
          <w:rFonts w:ascii="Arial" w:eastAsia="Calibri" w:hAnsi="Arial" w:cs="Arial"/>
          <w:b/>
          <w:bCs/>
          <w:szCs w:val="24"/>
        </w:rPr>
        <w:t xml:space="preserve">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prawnej przekracza wysokość odsetek maksymalnych, należą się </w:t>
      </w:r>
    </w:p>
    <w:p w:rsidR="00D167E4" w:rsidRPr="006A5E41" w:rsidRDefault="00961BB9" w:rsidP="00961BB9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bCs/>
          <w:szCs w:val="24"/>
        </w:rPr>
        <w:t>odsetki: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>a) maksymalne;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maksymalne za opóźnienie;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 xml:space="preserve">w wysokości wynikającej z czynności prawnej. </w:t>
      </w:r>
    </w:p>
    <w:p w:rsidR="00D167E4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961BB9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961BB9" w:rsidRDefault="00961BB9" w:rsidP="00961BB9">
      <w:pPr>
        <w:spacing w:line="240" w:lineRule="auto"/>
        <w:ind w:left="567" w:hanging="567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24. </w:t>
      </w:r>
      <w:r w:rsidR="00D167E4" w:rsidRPr="006A5E41">
        <w:rPr>
          <w:rFonts w:ascii="Arial" w:eastAsia="Calibri" w:hAnsi="Arial" w:cs="Arial"/>
          <w:b/>
          <w:szCs w:val="24"/>
        </w:rPr>
        <w:t xml:space="preserve">Zgodnie z Kodeksem cywilnym, zobowiązanie jest solidarne: </w:t>
      </w:r>
    </w:p>
    <w:p w:rsidR="00D167E4" w:rsidRPr="00961BB9" w:rsidRDefault="00961BB9" w:rsidP="00961BB9">
      <w:pPr>
        <w:spacing w:line="240" w:lineRule="auto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a) </w:t>
      </w:r>
      <w:r w:rsidR="00D167E4" w:rsidRPr="00961BB9">
        <w:rPr>
          <w:rFonts w:ascii="Arial" w:eastAsia="Calibri" w:hAnsi="Arial" w:cs="Arial"/>
          <w:b/>
          <w:szCs w:val="24"/>
        </w:rPr>
        <w:t>jeżeli to wynika z</w:t>
      </w:r>
      <w:r>
        <w:rPr>
          <w:rFonts w:ascii="Arial" w:eastAsia="Calibri" w:hAnsi="Arial" w:cs="Arial"/>
          <w:b/>
          <w:szCs w:val="24"/>
        </w:rPr>
        <w:t xml:space="preserve"> ustawy lub z czynności prawnej;</w:t>
      </w:r>
    </w:p>
    <w:p w:rsidR="00D167E4" w:rsidRPr="006A5E41" w:rsidRDefault="00961BB9" w:rsidP="00D167E4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167E4" w:rsidRPr="006A5E41">
        <w:rPr>
          <w:rFonts w:ascii="Arial" w:eastAsia="Calibri" w:hAnsi="Arial" w:cs="Arial"/>
          <w:szCs w:val="24"/>
        </w:rPr>
        <w:t>tylko wówczas, gdy</w:t>
      </w:r>
      <w:r>
        <w:rPr>
          <w:rFonts w:ascii="Arial" w:eastAsia="Calibri" w:hAnsi="Arial" w:cs="Arial"/>
          <w:szCs w:val="24"/>
        </w:rPr>
        <w:t xml:space="preserve"> przepis szczególny tak stanowi;</w:t>
      </w:r>
    </w:p>
    <w:p w:rsidR="00961BB9" w:rsidRDefault="00961BB9" w:rsidP="00D167E4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 xml:space="preserve">tylko wówczas, gdy przepis szczególny na to zezwala, a strony w umowie wyraziły </w:t>
      </w:r>
    </w:p>
    <w:p w:rsidR="00D167E4" w:rsidRPr="006A5E41" w:rsidRDefault="00961BB9" w:rsidP="00D167E4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167E4" w:rsidRPr="006A5E41">
        <w:rPr>
          <w:rFonts w:ascii="Arial" w:eastAsia="Calibri" w:hAnsi="Arial" w:cs="Arial"/>
          <w:szCs w:val="24"/>
        </w:rPr>
        <w:t>na to zgodę.</w:t>
      </w:r>
    </w:p>
    <w:p w:rsidR="00D167E4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</w:p>
    <w:p w:rsidR="00961BB9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</w:p>
    <w:p w:rsid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25. </w:t>
      </w:r>
      <w:r w:rsidR="00D167E4" w:rsidRPr="006A5E41">
        <w:rPr>
          <w:rFonts w:ascii="Arial" w:eastAsia="Calibri" w:hAnsi="Arial" w:cs="Arial"/>
          <w:b/>
          <w:bCs/>
          <w:szCs w:val="24"/>
        </w:rPr>
        <w:t>Według Kodeksu cywilnego, wierzytelność przedawniona: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a) </w:t>
      </w:r>
      <w:r>
        <w:rPr>
          <w:rFonts w:ascii="Arial" w:eastAsia="Calibri" w:hAnsi="Arial" w:cs="Arial"/>
          <w:szCs w:val="24"/>
        </w:rPr>
        <w:t>nigdy nie może być potrącona;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zawsze może być potrącona;</w:t>
      </w:r>
      <w:r w:rsidR="00D167E4" w:rsidRPr="006A5E41">
        <w:rPr>
          <w:rFonts w:ascii="Arial" w:eastAsia="Calibri" w:hAnsi="Arial" w:cs="Arial"/>
          <w:szCs w:val="24"/>
        </w:rPr>
        <w:t xml:space="preserve"> </w:t>
      </w:r>
    </w:p>
    <w:p w:rsidR="00961BB9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c) </w:t>
      </w:r>
      <w:r w:rsidR="00D167E4" w:rsidRPr="00961BB9">
        <w:rPr>
          <w:rFonts w:ascii="Arial" w:eastAsia="Calibri" w:hAnsi="Arial" w:cs="Arial"/>
          <w:b/>
          <w:szCs w:val="24"/>
        </w:rPr>
        <w:t xml:space="preserve">może być potrącona, jeżeli w chwili, gdy potrącenie stało się możliwe, 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    </w:t>
      </w:r>
      <w:r w:rsidR="00D167E4" w:rsidRPr="00961BB9">
        <w:rPr>
          <w:rFonts w:ascii="Arial" w:eastAsia="Calibri" w:hAnsi="Arial" w:cs="Arial"/>
          <w:b/>
          <w:szCs w:val="24"/>
        </w:rPr>
        <w:t xml:space="preserve">przedawnienie jeszcze nie nastąpiło. </w:t>
      </w:r>
    </w:p>
    <w:p w:rsidR="00D167E4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961BB9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26. </w:t>
      </w:r>
      <w:r w:rsidR="00D167E4" w:rsidRPr="006A5E41">
        <w:rPr>
          <w:rFonts w:ascii="Arial" w:eastAsia="Calibri" w:hAnsi="Arial" w:cs="Arial"/>
          <w:b/>
          <w:bCs/>
          <w:szCs w:val="24"/>
        </w:rPr>
        <w:t>Według Kodeksu cywilnego, spadkobierca nabywa spadek z chwilą: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167E4" w:rsidRPr="006A5E41">
        <w:rPr>
          <w:rFonts w:ascii="Arial" w:eastAsia="Calibri" w:hAnsi="Arial" w:cs="Arial"/>
          <w:szCs w:val="24"/>
        </w:rPr>
        <w:t>wydania przez sąd</w:t>
      </w:r>
      <w:r>
        <w:rPr>
          <w:rFonts w:ascii="Arial" w:eastAsia="Calibri" w:hAnsi="Arial" w:cs="Arial"/>
          <w:szCs w:val="24"/>
        </w:rPr>
        <w:t xml:space="preserve"> postanowienia o nabyciu spadku;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167E4" w:rsidRPr="006A5E41">
        <w:rPr>
          <w:rFonts w:ascii="Arial" w:eastAsia="Calibri" w:hAnsi="Arial" w:cs="Arial"/>
          <w:szCs w:val="24"/>
        </w:rPr>
        <w:t>uprawomocnienia się</w:t>
      </w:r>
      <w:r>
        <w:rPr>
          <w:rFonts w:ascii="Arial" w:eastAsia="Calibri" w:hAnsi="Arial" w:cs="Arial"/>
          <w:szCs w:val="24"/>
        </w:rPr>
        <w:t xml:space="preserve"> postanowienia o nabyciu spadku;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 xml:space="preserve">c) </w:t>
      </w:r>
      <w:r w:rsidR="00D167E4" w:rsidRPr="00961BB9">
        <w:rPr>
          <w:rFonts w:ascii="Arial" w:eastAsia="Calibri" w:hAnsi="Arial" w:cs="Arial"/>
          <w:b/>
          <w:szCs w:val="24"/>
        </w:rPr>
        <w:t>śmierci spadkodawcy (otwarcia spadku).</w:t>
      </w: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27. </w:t>
      </w:r>
      <w:r w:rsidR="00D167E4" w:rsidRPr="006A5E41">
        <w:rPr>
          <w:rFonts w:ascii="Arial" w:eastAsia="Calibri" w:hAnsi="Arial" w:cs="Arial"/>
          <w:b/>
          <w:szCs w:val="24"/>
        </w:rPr>
        <w:t>Instytucja z</w:t>
      </w:r>
      <w:r w:rsidR="00D167E4" w:rsidRPr="006A5E41">
        <w:rPr>
          <w:rFonts w:ascii="Arial" w:eastAsia="Calibri" w:hAnsi="Arial" w:cs="Arial"/>
          <w:b/>
          <w:bCs/>
          <w:szCs w:val="24"/>
        </w:rPr>
        <w:t>achowku: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  <w:r w:rsidRPr="00961BB9">
        <w:rPr>
          <w:rFonts w:ascii="Arial" w:eastAsia="Calibri" w:hAnsi="Arial" w:cs="Arial"/>
          <w:b/>
          <w:bCs/>
          <w:szCs w:val="24"/>
        </w:rPr>
        <w:t xml:space="preserve">a) </w:t>
      </w:r>
      <w:r w:rsidR="00D167E4" w:rsidRPr="00961BB9">
        <w:rPr>
          <w:rFonts w:ascii="Arial" w:eastAsia="Calibri" w:hAnsi="Arial" w:cs="Arial"/>
          <w:b/>
          <w:bCs/>
          <w:szCs w:val="24"/>
        </w:rPr>
        <w:t xml:space="preserve">została </w:t>
      </w:r>
      <w:r w:rsidRPr="00961BB9">
        <w:rPr>
          <w:rFonts w:ascii="Arial" w:eastAsia="Calibri" w:hAnsi="Arial" w:cs="Arial"/>
          <w:b/>
          <w:bCs/>
          <w:szCs w:val="24"/>
        </w:rPr>
        <w:t>uregulowana w Kodeksie cywilnym;</w:t>
      </w:r>
    </w:p>
    <w:p w:rsidR="00961BB9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b) </w:t>
      </w:r>
      <w:r w:rsidR="00D167E4" w:rsidRPr="006A5E41">
        <w:rPr>
          <w:rFonts w:ascii="Arial" w:eastAsia="Calibri" w:hAnsi="Arial" w:cs="Arial"/>
          <w:bCs/>
          <w:szCs w:val="24"/>
        </w:rPr>
        <w:t xml:space="preserve">nie została uregulowana w Kodeksie cywilnym, natomiast została uregulowana w 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    odrębnej ustawie;</w:t>
      </w:r>
    </w:p>
    <w:p w:rsidR="00D167E4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bCs/>
          <w:szCs w:val="24"/>
        </w:rPr>
        <w:t xml:space="preserve">c) </w:t>
      </w:r>
      <w:r w:rsidR="00D167E4" w:rsidRPr="006A5E41">
        <w:rPr>
          <w:rFonts w:ascii="Arial" w:eastAsia="Calibri" w:hAnsi="Arial" w:cs="Arial"/>
          <w:bCs/>
          <w:szCs w:val="24"/>
        </w:rPr>
        <w:t>jest niedopuszczalna w prawie polskim.</w:t>
      </w:r>
    </w:p>
    <w:p w:rsidR="00961BB9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Cs/>
          <w:szCs w:val="24"/>
        </w:rPr>
      </w:pPr>
    </w:p>
    <w:p w:rsidR="00961BB9" w:rsidRDefault="00961BB9" w:rsidP="00D167E4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lastRenderedPageBreak/>
        <w:t xml:space="preserve">28. </w:t>
      </w:r>
      <w:r w:rsidR="00D167E4" w:rsidRPr="006A5E41">
        <w:rPr>
          <w:rFonts w:ascii="Arial" w:eastAsia="Calibri" w:hAnsi="Arial" w:cs="Arial"/>
          <w:b/>
          <w:szCs w:val="24"/>
        </w:rPr>
        <w:t xml:space="preserve">Zgodnie z Kodeksem postępowania cywilnego, sprawy o prawa majątkowe, </w:t>
      </w:r>
    </w:p>
    <w:p w:rsidR="00961BB9" w:rsidRDefault="00961BB9" w:rsidP="00D167E4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szCs w:val="24"/>
        </w:rPr>
        <w:t xml:space="preserve">w których wartość przedmiotu sporu przewyższa 100.000 złotych, oprócz </w:t>
      </w:r>
    </w:p>
    <w:p w:rsidR="00961BB9" w:rsidRDefault="00961BB9" w:rsidP="00D167E4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szCs w:val="24"/>
        </w:rPr>
        <w:t xml:space="preserve">spraw o alimenty, o naruszenie posiadania, o ustanowienie rozdzielności </w:t>
      </w:r>
      <w:r>
        <w:rPr>
          <w:rFonts w:ascii="Arial" w:eastAsia="Calibri" w:hAnsi="Arial" w:cs="Arial"/>
          <w:b/>
          <w:szCs w:val="24"/>
        </w:rPr>
        <w:t xml:space="preserve">   </w:t>
      </w:r>
      <w:r>
        <w:rPr>
          <w:rFonts w:ascii="Arial" w:eastAsia="Calibri" w:hAnsi="Arial" w:cs="Arial"/>
          <w:b/>
          <w:szCs w:val="24"/>
        </w:rPr>
        <w:br/>
        <w:t xml:space="preserve">      </w:t>
      </w:r>
      <w:r w:rsidR="00D167E4" w:rsidRPr="006A5E41">
        <w:rPr>
          <w:rFonts w:ascii="Arial" w:eastAsia="Calibri" w:hAnsi="Arial" w:cs="Arial"/>
          <w:b/>
          <w:szCs w:val="24"/>
        </w:rPr>
        <w:t xml:space="preserve">majątkowej między małżonkami oraz spraw rozpoznawanych w </w:t>
      </w:r>
    </w:p>
    <w:p w:rsidR="00961BB9" w:rsidRDefault="00961BB9" w:rsidP="00D167E4">
      <w:pPr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szCs w:val="24"/>
        </w:rPr>
        <w:t xml:space="preserve">elektronicznym postępowaniu upominawczym, należą do właściwości jako </w:t>
      </w:r>
    </w:p>
    <w:p w:rsidR="00D167E4" w:rsidRPr="006A5E41" w:rsidRDefault="00961BB9" w:rsidP="00D167E4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szCs w:val="24"/>
        </w:rPr>
        <w:t>sądu pierwszej instancji:</w:t>
      </w:r>
    </w:p>
    <w:p w:rsidR="00D167E4" w:rsidRPr="006A5E41" w:rsidRDefault="00961BB9" w:rsidP="00D167E4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sądów rejonowych;</w:t>
      </w:r>
    </w:p>
    <w:p w:rsidR="00D167E4" w:rsidRPr="00961BB9" w:rsidRDefault="00961BB9" w:rsidP="00D167E4">
      <w:pPr>
        <w:spacing w:line="240" w:lineRule="auto"/>
        <w:rPr>
          <w:rFonts w:ascii="Arial" w:eastAsia="Calibri" w:hAnsi="Arial" w:cs="Arial"/>
          <w:b/>
          <w:szCs w:val="24"/>
        </w:rPr>
      </w:pPr>
      <w:r w:rsidRPr="00961BB9">
        <w:rPr>
          <w:rFonts w:ascii="Arial" w:eastAsia="Calibri" w:hAnsi="Arial" w:cs="Arial"/>
          <w:b/>
          <w:szCs w:val="24"/>
        </w:rPr>
        <w:t>b) sądów okręgowych;</w:t>
      </w:r>
    </w:p>
    <w:p w:rsidR="00D167E4" w:rsidRPr="006A5E41" w:rsidRDefault="00961BB9" w:rsidP="00D167E4">
      <w:pPr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>sądów apelacyjnych.</w:t>
      </w:r>
    </w:p>
    <w:p w:rsidR="00961BB9" w:rsidRDefault="00961BB9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  <w:lang w:val="en-US"/>
        </w:rPr>
      </w:pPr>
    </w:p>
    <w:p w:rsidR="00961BB9" w:rsidRPr="00961BB9" w:rsidRDefault="00961BB9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 w:rsidRPr="00961BB9">
        <w:rPr>
          <w:rFonts w:ascii="Arial" w:eastAsia="Calibri" w:hAnsi="Arial" w:cs="Arial"/>
          <w:b/>
          <w:szCs w:val="24"/>
          <w:lang w:val="en-US"/>
        </w:rPr>
        <w:t xml:space="preserve">29. </w:t>
      </w:r>
      <w:r w:rsidR="00D167E4" w:rsidRPr="00961BB9">
        <w:rPr>
          <w:rFonts w:ascii="Arial" w:eastAsia="Calibri" w:hAnsi="Arial" w:cs="Arial"/>
          <w:b/>
          <w:bCs/>
          <w:szCs w:val="24"/>
        </w:rPr>
        <w:t xml:space="preserve">Według Kodeksu postępowania cywilnego, w razie śmierci strony lub jej </w:t>
      </w:r>
    </w:p>
    <w:p w:rsidR="00D167E4" w:rsidRPr="00961BB9" w:rsidRDefault="00961BB9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  <w:lang w:val="en-US"/>
        </w:rPr>
      </w:pPr>
      <w:r w:rsidRPr="00961BB9"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961BB9">
        <w:rPr>
          <w:rFonts w:ascii="Arial" w:eastAsia="Calibri" w:hAnsi="Arial" w:cs="Arial"/>
          <w:b/>
          <w:bCs/>
          <w:szCs w:val="24"/>
        </w:rPr>
        <w:t>przedstawiciela ustawowego w toku postępowania:</w:t>
      </w:r>
    </w:p>
    <w:p w:rsidR="00D167E4" w:rsidRPr="00A93B28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A93B28">
        <w:rPr>
          <w:rFonts w:ascii="Arial" w:eastAsia="Calibri" w:hAnsi="Arial" w:cs="Arial"/>
          <w:b/>
          <w:szCs w:val="24"/>
        </w:rPr>
        <w:t xml:space="preserve">a) </w:t>
      </w:r>
      <w:r w:rsidR="00D167E4" w:rsidRPr="00A93B28">
        <w:rPr>
          <w:rFonts w:ascii="Arial" w:eastAsia="Calibri" w:hAnsi="Arial" w:cs="Arial"/>
          <w:b/>
          <w:szCs w:val="24"/>
        </w:rPr>
        <w:t>sąd</w:t>
      </w:r>
      <w:r w:rsidRPr="00A93B28">
        <w:rPr>
          <w:rFonts w:ascii="Arial" w:eastAsia="Calibri" w:hAnsi="Arial" w:cs="Arial"/>
          <w:b/>
          <w:szCs w:val="24"/>
        </w:rPr>
        <w:t xml:space="preserve"> z urzędu zawiesza postępowanie;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167E4" w:rsidRPr="006A5E41">
        <w:rPr>
          <w:rFonts w:ascii="Arial" w:eastAsia="Calibri" w:hAnsi="Arial" w:cs="Arial"/>
          <w:szCs w:val="24"/>
        </w:rPr>
        <w:t>sąd zawiesza postępowanie jedyn</w:t>
      </w:r>
      <w:r w:rsidR="00A93B28">
        <w:rPr>
          <w:rFonts w:ascii="Arial" w:eastAsia="Calibri" w:hAnsi="Arial" w:cs="Arial"/>
          <w:szCs w:val="24"/>
        </w:rPr>
        <w:t>ie na wniosek strony przeciwnej;</w:t>
      </w:r>
    </w:p>
    <w:p w:rsidR="00D167E4" w:rsidRPr="006A5E41" w:rsidRDefault="00961BB9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>sąd umarza postępowanie.</w:t>
      </w: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  <w:lang w:val="en-US"/>
        </w:rPr>
      </w:pPr>
    </w:p>
    <w:p w:rsidR="00A93B28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30. </w:t>
      </w:r>
      <w:r w:rsidR="00D167E4" w:rsidRPr="006A5E41">
        <w:rPr>
          <w:rFonts w:ascii="Arial" w:eastAsia="Calibri" w:hAnsi="Arial" w:cs="Arial"/>
          <w:b/>
          <w:szCs w:val="24"/>
        </w:rPr>
        <w:t xml:space="preserve">Zgodnie z Kodeksem postępowania cywilnego przewodniczący po </w:t>
      </w: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szCs w:val="24"/>
        </w:rPr>
        <w:t>przeprowadzeniu dowodów i udzieleniu głosu stronom:</w:t>
      </w:r>
    </w:p>
    <w:p w:rsidR="00D167E4" w:rsidRPr="00A93B28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 w:rsidRPr="00A93B28">
        <w:rPr>
          <w:rFonts w:ascii="Arial" w:eastAsia="Calibri" w:hAnsi="Arial" w:cs="Arial"/>
          <w:b/>
          <w:szCs w:val="24"/>
        </w:rPr>
        <w:t>a) zamyka rozprawę;</w:t>
      </w:r>
    </w:p>
    <w:p w:rsidR="00D167E4" w:rsidRPr="006A5E41" w:rsidRDefault="00A93B28" w:rsidP="00D167E4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b) zamyka rozprawę główną;</w:t>
      </w:r>
    </w:p>
    <w:p w:rsidR="00D167E4" w:rsidRPr="006A5E41" w:rsidRDefault="00A93B28" w:rsidP="00A93B28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>zamyka posiedzenie.</w:t>
      </w:r>
    </w:p>
    <w:p w:rsidR="00D167E4" w:rsidRPr="006A5E41" w:rsidRDefault="00D167E4" w:rsidP="00D167E4">
      <w:pPr>
        <w:spacing w:line="240" w:lineRule="auto"/>
        <w:jc w:val="left"/>
        <w:rPr>
          <w:rFonts w:ascii="Arial" w:eastAsia="Calibri" w:hAnsi="Arial" w:cs="Arial"/>
          <w:szCs w:val="24"/>
        </w:rPr>
      </w:pP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31. </w:t>
      </w:r>
      <w:r w:rsidR="00D167E4" w:rsidRPr="006A5E41">
        <w:rPr>
          <w:rFonts w:ascii="Arial" w:eastAsia="Calibri" w:hAnsi="Arial" w:cs="Arial"/>
          <w:b/>
          <w:szCs w:val="24"/>
        </w:rPr>
        <w:t>Zgodnie z Kodeksem postępowania cywilnego</w:t>
      </w:r>
      <w:r>
        <w:rPr>
          <w:rFonts w:ascii="Arial" w:eastAsia="Calibri" w:hAnsi="Arial" w:cs="Arial"/>
          <w:b/>
          <w:szCs w:val="24"/>
        </w:rPr>
        <w:t>:</w:t>
      </w:r>
    </w:p>
    <w:p w:rsidR="00D167E4" w:rsidRPr="006A5E41" w:rsidRDefault="00A93B28" w:rsidP="00D167E4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167E4" w:rsidRPr="006A5E41">
        <w:rPr>
          <w:rFonts w:ascii="Arial" w:eastAsia="Calibri" w:hAnsi="Arial" w:cs="Arial"/>
          <w:color w:val="000000"/>
          <w:szCs w:val="24"/>
        </w:rPr>
        <w:t>sąd zawsze j</w:t>
      </w:r>
      <w:r>
        <w:rPr>
          <w:rFonts w:ascii="Arial" w:eastAsia="Calibri" w:hAnsi="Arial" w:cs="Arial"/>
          <w:color w:val="000000"/>
          <w:szCs w:val="24"/>
        </w:rPr>
        <w:t>est związany uznaniem powództwa;</w:t>
      </w:r>
    </w:p>
    <w:p w:rsidR="00A93B28" w:rsidRDefault="00A93B28" w:rsidP="00D167E4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A93B28">
        <w:rPr>
          <w:rFonts w:ascii="Arial" w:eastAsia="Calibri" w:hAnsi="Arial" w:cs="Arial"/>
          <w:b/>
          <w:color w:val="000000"/>
          <w:szCs w:val="24"/>
        </w:rPr>
        <w:t xml:space="preserve">b) </w:t>
      </w:r>
      <w:r w:rsidR="00D167E4" w:rsidRPr="00A93B28">
        <w:rPr>
          <w:rFonts w:ascii="Arial" w:eastAsia="Calibri" w:hAnsi="Arial" w:cs="Arial"/>
          <w:b/>
          <w:color w:val="000000"/>
          <w:szCs w:val="24"/>
        </w:rPr>
        <w:t xml:space="preserve">sąd jest związany uznaniem powództwa, chyba że uznanie jest sprzeczne z </w:t>
      </w:r>
      <w:r>
        <w:rPr>
          <w:rFonts w:ascii="Arial" w:eastAsia="Calibri" w:hAnsi="Arial" w:cs="Arial"/>
          <w:b/>
          <w:color w:val="000000"/>
          <w:szCs w:val="24"/>
        </w:rPr>
        <w:t xml:space="preserve"> </w:t>
      </w:r>
    </w:p>
    <w:p w:rsidR="00A93B28" w:rsidRDefault="00A93B28" w:rsidP="00D167E4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prawem </w:t>
      </w:r>
      <w:r w:rsidR="00D167E4" w:rsidRPr="00A93B28">
        <w:rPr>
          <w:rFonts w:ascii="Arial" w:eastAsia="Calibri" w:hAnsi="Arial" w:cs="Arial"/>
          <w:b/>
          <w:color w:val="000000"/>
          <w:szCs w:val="24"/>
        </w:rPr>
        <w:t>lub zasadami współżycia społecznego</w:t>
      </w:r>
      <w:r w:rsidRPr="00A93B28">
        <w:rPr>
          <w:rFonts w:ascii="Arial" w:eastAsia="Calibri" w:hAnsi="Arial" w:cs="Arial"/>
          <w:b/>
          <w:color w:val="000000"/>
          <w:szCs w:val="24"/>
        </w:rPr>
        <w:t xml:space="preserve"> albo zmierza do obejścia </w:t>
      </w:r>
    </w:p>
    <w:p w:rsidR="00D167E4" w:rsidRPr="00A93B28" w:rsidRDefault="00A93B28" w:rsidP="00D167E4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</w:t>
      </w:r>
      <w:r w:rsidRPr="00A93B28">
        <w:rPr>
          <w:rFonts w:ascii="Arial" w:eastAsia="Calibri" w:hAnsi="Arial" w:cs="Arial"/>
          <w:b/>
          <w:color w:val="000000"/>
          <w:szCs w:val="24"/>
        </w:rPr>
        <w:t>prawa;</w:t>
      </w:r>
    </w:p>
    <w:p w:rsidR="00D167E4" w:rsidRPr="006A5E41" w:rsidRDefault="00A93B28" w:rsidP="00D167E4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c) </w:t>
      </w:r>
      <w:r w:rsidR="00D167E4" w:rsidRPr="006A5E41">
        <w:rPr>
          <w:rFonts w:ascii="Arial" w:eastAsia="Calibri" w:hAnsi="Arial" w:cs="Arial"/>
          <w:color w:val="000000"/>
          <w:szCs w:val="24"/>
        </w:rPr>
        <w:t xml:space="preserve">sąd nie jest związany uznaniem powództwa. </w:t>
      </w:r>
    </w:p>
    <w:p w:rsidR="00D167E4" w:rsidRPr="006A5E41" w:rsidRDefault="00D167E4" w:rsidP="00D167E4">
      <w:pPr>
        <w:spacing w:line="240" w:lineRule="auto"/>
        <w:rPr>
          <w:rFonts w:ascii="Arial" w:eastAsia="Calibri" w:hAnsi="Arial" w:cs="Arial"/>
          <w:color w:val="000000"/>
          <w:szCs w:val="24"/>
        </w:rPr>
      </w:pPr>
    </w:p>
    <w:p w:rsidR="00D167E4" w:rsidRPr="006A5E41" w:rsidRDefault="00D167E4" w:rsidP="00D167E4">
      <w:pPr>
        <w:spacing w:line="240" w:lineRule="auto"/>
        <w:jc w:val="left"/>
        <w:rPr>
          <w:rFonts w:ascii="Arial" w:eastAsia="Calibri" w:hAnsi="Arial" w:cs="Arial"/>
          <w:b/>
          <w:szCs w:val="24"/>
        </w:rPr>
      </w:pPr>
    </w:p>
    <w:p w:rsidR="00A93B28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32. </w:t>
      </w:r>
      <w:r w:rsidR="00D167E4" w:rsidRPr="006A5E41">
        <w:rPr>
          <w:rFonts w:ascii="Arial" w:eastAsia="Calibri" w:hAnsi="Arial" w:cs="Arial"/>
          <w:b/>
          <w:szCs w:val="24"/>
        </w:rPr>
        <w:t xml:space="preserve">Zgodnie z Kodeksem postępowania cywilnego, jeżeli wyrok uwzględniający </w:t>
      </w: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szCs w:val="24"/>
        </w:rPr>
        <w:t>powództwo jest zaoczny i nadaje się do wykonania, wówczas Sąd:</w:t>
      </w:r>
    </w:p>
    <w:p w:rsidR="00D167E4" w:rsidRPr="006A5E41" w:rsidRDefault="00A93B28" w:rsidP="00D167E4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167E4" w:rsidRPr="006A5E41">
        <w:rPr>
          <w:rFonts w:ascii="Arial" w:eastAsia="Calibri" w:hAnsi="Arial" w:cs="Arial"/>
          <w:color w:val="000000"/>
          <w:szCs w:val="24"/>
        </w:rPr>
        <w:t>nie może nadać wyrokowi przy jego wydaniu rygo</w:t>
      </w:r>
      <w:r w:rsidR="000E0EC0">
        <w:rPr>
          <w:rFonts w:ascii="Arial" w:eastAsia="Calibri" w:hAnsi="Arial" w:cs="Arial"/>
          <w:color w:val="000000"/>
          <w:szCs w:val="24"/>
        </w:rPr>
        <w:t>ru natychmiastowej wykonalności;</w:t>
      </w:r>
    </w:p>
    <w:p w:rsidR="00A93B28" w:rsidRDefault="00A93B28" w:rsidP="00D167E4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b) </w:t>
      </w:r>
      <w:r w:rsidR="00D167E4" w:rsidRPr="006A5E41">
        <w:rPr>
          <w:rFonts w:ascii="Arial" w:eastAsia="Calibri" w:hAnsi="Arial" w:cs="Arial"/>
          <w:color w:val="000000"/>
          <w:szCs w:val="24"/>
        </w:rPr>
        <w:t xml:space="preserve">może tylko na wniosek powoda nadać wyrokowi przy jego wydaniu rygor </w:t>
      </w:r>
    </w:p>
    <w:p w:rsidR="00D167E4" w:rsidRPr="006A5E41" w:rsidRDefault="00A93B28" w:rsidP="00D167E4">
      <w:pPr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    natychmiastowej wykonalności;</w:t>
      </w:r>
    </w:p>
    <w:p w:rsidR="00A93B28" w:rsidRDefault="00A93B28" w:rsidP="00D167E4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A93B28">
        <w:rPr>
          <w:rFonts w:ascii="Arial" w:eastAsia="Calibri" w:hAnsi="Arial" w:cs="Arial"/>
          <w:b/>
          <w:color w:val="000000"/>
          <w:szCs w:val="24"/>
        </w:rPr>
        <w:t xml:space="preserve">c) </w:t>
      </w:r>
      <w:r w:rsidR="00D167E4" w:rsidRPr="00A93B28">
        <w:rPr>
          <w:rFonts w:ascii="Arial" w:eastAsia="Calibri" w:hAnsi="Arial" w:cs="Arial"/>
          <w:b/>
          <w:color w:val="000000"/>
          <w:szCs w:val="24"/>
        </w:rPr>
        <w:t xml:space="preserve">z urzędu nadaje wyrokowi przy jego wydaniu rygor natychmiastowej </w:t>
      </w:r>
      <w:r>
        <w:rPr>
          <w:rFonts w:ascii="Arial" w:eastAsia="Calibri" w:hAnsi="Arial" w:cs="Arial"/>
          <w:b/>
          <w:color w:val="000000"/>
          <w:szCs w:val="24"/>
        </w:rPr>
        <w:t xml:space="preserve"> </w:t>
      </w:r>
    </w:p>
    <w:p w:rsidR="00D167E4" w:rsidRPr="00A93B28" w:rsidRDefault="00A93B28" w:rsidP="00D167E4">
      <w:pPr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</w:t>
      </w:r>
      <w:r w:rsidR="00D167E4" w:rsidRPr="00A93B28">
        <w:rPr>
          <w:rFonts w:ascii="Arial" w:eastAsia="Calibri" w:hAnsi="Arial" w:cs="Arial"/>
          <w:b/>
          <w:color w:val="000000"/>
          <w:szCs w:val="24"/>
        </w:rPr>
        <w:t xml:space="preserve">wykonalności. </w:t>
      </w: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  <w:lang w:val="en-US"/>
        </w:rPr>
      </w:pP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33. </w:t>
      </w:r>
      <w:r w:rsidR="00D167E4" w:rsidRPr="006A5E41">
        <w:rPr>
          <w:rFonts w:ascii="Arial" w:eastAsia="Calibri" w:hAnsi="Arial" w:cs="Arial"/>
          <w:b/>
          <w:szCs w:val="24"/>
        </w:rPr>
        <w:t>Zgodnie z Kodeksem postępowania cywilnego:</w:t>
      </w:r>
    </w:p>
    <w:p w:rsidR="00D167E4" w:rsidRPr="006A5E41" w:rsidRDefault="00A93B28" w:rsidP="00D167E4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a) </w:t>
      </w:r>
      <w:r w:rsidR="00D167E4" w:rsidRPr="006A5E41">
        <w:rPr>
          <w:rFonts w:ascii="Arial" w:eastAsia="Calibri" w:hAnsi="Arial" w:cs="Arial"/>
          <w:szCs w:val="24"/>
        </w:rPr>
        <w:t>świadek ni</w:t>
      </w:r>
      <w:r>
        <w:rPr>
          <w:rFonts w:ascii="Arial" w:eastAsia="Calibri" w:hAnsi="Arial" w:cs="Arial"/>
          <w:szCs w:val="24"/>
        </w:rPr>
        <w:t>e może składać zeznań na piśmie;</w:t>
      </w:r>
    </w:p>
    <w:p w:rsidR="00D167E4" w:rsidRPr="00A93B28" w:rsidRDefault="00A93B28" w:rsidP="00D167E4">
      <w:pPr>
        <w:spacing w:after="160" w:line="259" w:lineRule="auto"/>
        <w:contextualSpacing/>
        <w:rPr>
          <w:rFonts w:ascii="Arial" w:eastAsia="Calibri" w:hAnsi="Arial" w:cs="Arial"/>
          <w:b/>
          <w:szCs w:val="24"/>
        </w:rPr>
      </w:pPr>
      <w:r w:rsidRPr="00A93B28">
        <w:rPr>
          <w:rFonts w:ascii="Arial" w:eastAsia="Calibri" w:hAnsi="Arial" w:cs="Arial"/>
          <w:b/>
          <w:szCs w:val="24"/>
        </w:rPr>
        <w:t xml:space="preserve">b) </w:t>
      </w:r>
      <w:r w:rsidR="00D167E4" w:rsidRPr="00A93B28">
        <w:rPr>
          <w:rFonts w:ascii="Arial" w:eastAsia="Calibri" w:hAnsi="Arial" w:cs="Arial"/>
          <w:b/>
          <w:szCs w:val="24"/>
        </w:rPr>
        <w:t>świadek składa zeznanie na p</w:t>
      </w:r>
      <w:r w:rsidRPr="00A93B28">
        <w:rPr>
          <w:rFonts w:ascii="Arial" w:eastAsia="Calibri" w:hAnsi="Arial" w:cs="Arial"/>
          <w:b/>
          <w:szCs w:val="24"/>
        </w:rPr>
        <w:t>iśmie, jeżeli sąd tak postanowi;</w:t>
      </w:r>
    </w:p>
    <w:p w:rsidR="006746FA" w:rsidRDefault="006746FA" w:rsidP="00D167E4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 xml:space="preserve">świadek składa zeznanie na piśmie, jeżeli sąd tak postanowi, ale tylko w </w:t>
      </w:r>
    </w:p>
    <w:p w:rsidR="00D167E4" w:rsidRPr="006A5E41" w:rsidRDefault="006746FA" w:rsidP="00D167E4">
      <w:pPr>
        <w:spacing w:after="160" w:line="259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167E4" w:rsidRPr="006A5E41">
        <w:rPr>
          <w:rFonts w:ascii="Arial" w:eastAsia="Calibri" w:hAnsi="Arial" w:cs="Arial"/>
          <w:szCs w:val="24"/>
        </w:rPr>
        <w:t>postępowaniu nieprocesowym.</w:t>
      </w: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</w:p>
    <w:p w:rsidR="00A93B28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34.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Zgodnie z Kodeksem postępowania cywilnego, nakaz zapłaty w </w:t>
      </w: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bCs/>
          <w:szCs w:val="24"/>
        </w:rPr>
        <w:t>postępowaniu nakazowym wydaje się:</w:t>
      </w: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a) z urzędu;</w:t>
      </w:r>
    </w:p>
    <w:p w:rsidR="00D167E4" w:rsidRPr="00A93B28" w:rsidRDefault="00A93B28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A93B28">
        <w:rPr>
          <w:rFonts w:ascii="Arial" w:eastAsia="Calibri" w:hAnsi="Arial" w:cs="Arial"/>
          <w:b/>
          <w:szCs w:val="24"/>
        </w:rPr>
        <w:t xml:space="preserve">b) </w:t>
      </w:r>
      <w:r w:rsidR="00D167E4" w:rsidRPr="00A93B28">
        <w:rPr>
          <w:rFonts w:ascii="Arial" w:eastAsia="Calibri" w:hAnsi="Arial" w:cs="Arial"/>
          <w:b/>
          <w:szCs w:val="24"/>
        </w:rPr>
        <w:t>na wn</w:t>
      </w:r>
      <w:r>
        <w:rPr>
          <w:rFonts w:ascii="Arial" w:eastAsia="Calibri" w:hAnsi="Arial" w:cs="Arial"/>
          <w:b/>
          <w:szCs w:val="24"/>
        </w:rPr>
        <w:t>iosek powoda zgłoszony w pozwie;</w:t>
      </w:r>
    </w:p>
    <w:p w:rsidR="00D167E4" w:rsidRPr="006A5E41" w:rsidRDefault="00A93B28" w:rsidP="00D167E4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>na wniosek pozwanego zgłoszony w odpowiedzi na pozew.</w:t>
      </w:r>
    </w:p>
    <w:p w:rsidR="00A93B28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lastRenderedPageBreak/>
        <w:t xml:space="preserve">35. </w:t>
      </w:r>
      <w:r w:rsidR="00D167E4" w:rsidRPr="006A5E41">
        <w:rPr>
          <w:rFonts w:ascii="Arial" w:eastAsia="Calibri" w:hAnsi="Arial" w:cs="Arial"/>
          <w:b/>
          <w:bCs/>
          <w:szCs w:val="24"/>
        </w:rPr>
        <w:t xml:space="preserve">Zgodnie z Kodeksem postępowania cywilnego, udzielenia zabezpieczenia </w:t>
      </w: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b/>
          <w:bCs/>
          <w:szCs w:val="24"/>
        </w:rPr>
      </w:pPr>
      <w:r>
        <w:rPr>
          <w:rFonts w:ascii="Arial" w:eastAsia="Calibri" w:hAnsi="Arial" w:cs="Arial"/>
          <w:b/>
          <w:bCs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bCs/>
          <w:szCs w:val="24"/>
        </w:rPr>
        <w:t>można żądać:</w:t>
      </w:r>
    </w:p>
    <w:p w:rsidR="00A93B28" w:rsidRDefault="00A93B28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 w:rsidRPr="00A93B28">
        <w:rPr>
          <w:rFonts w:ascii="Arial" w:eastAsia="Calibri" w:hAnsi="Arial" w:cs="Arial"/>
          <w:b/>
          <w:szCs w:val="24"/>
        </w:rPr>
        <w:t xml:space="preserve">a) </w:t>
      </w:r>
      <w:r w:rsidR="00D167E4" w:rsidRPr="00A93B28">
        <w:rPr>
          <w:rFonts w:ascii="Arial" w:eastAsia="Calibri" w:hAnsi="Arial" w:cs="Arial"/>
          <w:b/>
          <w:szCs w:val="24"/>
        </w:rPr>
        <w:t xml:space="preserve">w każdej sprawie cywilnej podlegającej rozpoznaniu przez sąd lub sąd </w:t>
      </w:r>
      <w:r>
        <w:rPr>
          <w:rFonts w:ascii="Arial" w:eastAsia="Calibri" w:hAnsi="Arial" w:cs="Arial"/>
          <w:b/>
          <w:szCs w:val="24"/>
        </w:rPr>
        <w:t xml:space="preserve"> </w:t>
      </w:r>
    </w:p>
    <w:p w:rsidR="00D167E4" w:rsidRPr="00A93B28" w:rsidRDefault="00A93B28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polubowny;</w:t>
      </w:r>
    </w:p>
    <w:p w:rsidR="00A93B28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b) </w:t>
      </w:r>
      <w:r w:rsidR="00D167E4" w:rsidRPr="006A5E41">
        <w:rPr>
          <w:rFonts w:ascii="Arial" w:eastAsia="Calibri" w:hAnsi="Arial" w:cs="Arial"/>
          <w:szCs w:val="24"/>
        </w:rPr>
        <w:t xml:space="preserve">tylko i wyłącznie w sprawie cywilnej podlegającej rozpoznaniu w postępowaniu </w:t>
      </w: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nieprocesowym;</w:t>
      </w:r>
    </w:p>
    <w:p w:rsidR="00A93B28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c) </w:t>
      </w:r>
      <w:r w:rsidR="00D167E4" w:rsidRPr="006A5E41">
        <w:rPr>
          <w:rFonts w:ascii="Arial" w:eastAsia="Calibri" w:hAnsi="Arial" w:cs="Arial"/>
          <w:szCs w:val="24"/>
        </w:rPr>
        <w:t xml:space="preserve">tylko i wyłącznie w sprawie cywilnej podlegającej rozpoznaniu w postępowaniu </w:t>
      </w:r>
    </w:p>
    <w:p w:rsidR="00D167E4" w:rsidRPr="006A5E41" w:rsidRDefault="00A93B28" w:rsidP="00D167E4">
      <w:pPr>
        <w:autoSpaceDE w:val="0"/>
        <w:autoSpaceDN w:val="0"/>
        <w:adjustRightInd w:val="0"/>
        <w:spacing w:line="240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D167E4" w:rsidRPr="006A5E41">
        <w:rPr>
          <w:rFonts w:ascii="Arial" w:eastAsia="Calibri" w:hAnsi="Arial" w:cs="Arial"/>
          <w:szCs w:val="24"/>
        </w:rPr>
        <w:t>egzekucyjnym.</w:t>
      </w:r>
    </w:p>
    <w:p w:rsidR="00D167E4" w:rsidRPr="006A5E41" w:rsidRDefault="00D167E4" w:rsidP="00D167E4">
      <w:pPr>
        <w:autoSpaceDE w:val="0"/>
        <w:autoSpaceDN w:val="0"/>
        <w:adjustRightInd w:val="0"/>
        <w:spacing w:line="240" w:lineRule="auto"/>
        <w:jc w:val="left"/>
        <w:rPr>
          <w:rFonts w:ascii="Arial" w:eastAsia="Calibri" w:hAnsi="Arial" w:cs="Arial"/>
          <w:b/>
          <w:bCs/>
          <w:szCs w:val="24"/>
        </w:rPr>
      </w:pPr>
    </w:p>
    <w:p w:rsidR="00A93B28" w:rsidRDefault="00A93B28" w:rsidP="00D167E4">
      <w:pPr>
        <w:tabs>
          <w:tab w:val="left" w:pos="54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36. </w:t>
      </w:r>
      <w:r w:rsidR="00D167E4" w:rsidRPr="006A5E41">
        <w:rPr>
          <w:rFonts w:ascii="Arial" w:eastAsia="Calibri" w:hAnsi="Arial" w:cs="Arial"/>
          <w:b/>
          <w:color w:val="000000"/>
          <w:szCs w:val="24"/>
        </w:rPr>
        <w:t xml:space="preserve">Zgodnie z Kodeksem postępowania cywilnego, w postępowaniu </w:t>
      </w:r>
    </w:p>
    <w:p w:rsidR="00A93B28" w:rsidRDefault="00A93B28" w:rsidP="00D167E4">
      <w:pPr>
        <w:tabs>
          <w:tab w:val="left" w:pos="54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color w:val="000000"/>
          <w:szCs w:val="24"/>
        </w:rPr>
        <w:t xml:space="preserve">nieprocesowym od postanowień sądu pierwszej instancji orzekających co do </w:t>
      </w:r>
    </w:p>
    <w:p w:rsidR="00D167E4" w:rsidRPr="006A5E41" w:rsidRDefault="00A93B28" w:rsidP="00D167E4">
      <w:pPr>
        <w:tabs>
          <w:tab w:val="left" w:pos="54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>
        <w:rPr>
          <w:rFonts w:ascii="Arial" w:eastAsia="Calibri" w:hAnsi="Arial" w:cs="Arial"/>
          <w:b/>
          <w:color w:val="000000"/>
          <w:szCs w:val="24"/>
        </w:rPr>
        <w:t xml:space="preserve">      </w:t>
      </w:r>
      <w:r w:rsidR="00D167E4" w:rsidRPr="006A5E41">
        <w:rPr>
          <w:rFonts w:ascii="Arial" w:eastAsia="Calibri" w:hAnsi="Arial" w:cs="Arial"/>
          <w:b/>
          <w:color w:val="000000"/>
          <w:szCs w:val="24"/>
        </w:rPr>
        <w:t>istoty sprawy przysługuje:</w:t>
      </w:r>
    </w:p>
    <w:p w:rsidR="00D167E4" w:rsidRPr="00A93B28" w:rsidRDefault="00A93B28" w:rsidP="00D167E4">
      <w:pPr>
        <w:tabs>
          <w:tab w:val="num" w:pos="900"/>
        </w:tabs>
        <w:spacing w:line="240" w:lineRule="auto"/>
        <w:rPr>
          <w:rFonts w:ascii="Arial" w:eastAsia="Calibri" w:hAnsi="Arial" w:cs="Arial"/>
          <w:b/>
          <w:color w:val="000000"/>
          <w:szCs w:val="24"/>
        </w:rPr>
      </w:pPr>
      <w:r w:rsidRPr="00A93B28">
        <w:rPr>
          <w:rFonts w:ascii="Arial" w:eastAsia="Calibri" w:hAnsi="Arial" w:cs="Arial"/>
          <w:b/>
          <w:color w:val="000000"/>
          <w:szCs w:val="24"/>
        </w:rPr>
        <w:t>a) apelacja;</w:t>
      </w:r>
    </w:p>
    <w:p w:rsidR="00D167E4" w:rsidRPr="006A5E41" w:rsidRDefault="00A93B28" w:rsidP="00D167E4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>b) skarga kasacyjna;</w:t>
      </w:r>
    </w:p>
    <w:p w:rsidR="00D167E4" w:rsidRPr="006A5E41" w:rsidRDefault="00A93B28" w:rsidP="00D167E4">
      <w:pPr>
        <w:tabs>
          <w:tab w:val="num" w:pos="900"/>
        </w:tabs>
        <w:spacing w:line="240" w:lineRule="auto"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c) </w:t>
      </w:r>
      <w:r w:rsidR="00D167E4" w:rsidRPr="006A5E41">
        <w:rPr>
          <w:rFonts w:ascii="Arial" w:eastAsia="Calibri" w:hAnsi="Arial" w:cs="Arial"/>
          <w:color w:val="000000"/>
          <w:szCs w:val="24"/>
        </w:rPr>
        <w:t>sprzeciw.</w:t>
      </w:r>
    </w:p>
    <w:p w:rsidR="00D167E4" w:rsidRPr="006A5E41" w:rsidRDefault="00D167E4" w:rsidP="00D167E4">
      <w:pPr>
        <w:spacing w:after="160" w:line="259" w:lineRule="auto"/>
        <w:jc w:val="left"/>
        <w:rPr>
          <w:rFonts w:ascii="Arial" w:eastAsia="Calibri" w:hAnsi="Arial" w:cs="Arial"/>
          <w:szCs w:val="24"/>
        </w:rPr>
      </w:pPr>
    </w:p>
    <w:p w:rsidR="00D167E4" w:rsidRPr="006A5E41" w:rsidRDefault="00D167E4" w:rsidP="00D167E4">
      <w:pPr>
        <w:spacing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E0495" w:rsidRPr="006A5E41" w:rsidRDefault="001E0495" w:rsidP="00AD2A10">
      <w:pPr>
        <w:spacing w:line="276" w:lineRule="auto"/>
        <w:rPr>
          <w:rFonts w:ascii="Arial" w:hAnsi="Arial" w:cs="Arial"/>
          <w:szCs w:val="24"/>
        </w:rPr>
      </w:pPr>
    </w:p>
    <w:sectPr w:rsidR="001E0495" w:rsidRPr="006A5E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B4" w:rsidRDefault="008D34B4" w:rsidP="00911F3E">
      <w:pPr>
        <w:spacing w:line="240" w:lineRule="auto"/>
      </w:pPr>
      <w:r>
        <w:separator/>
      </w:r>
    </w:p>
  </w:endnote>
  <w:endnote w:type="continuationSeparator" w:id="0">
    <w:p w:rsidR="008D34B4" w:rsidRDefault="008D34B4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3748474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sz w:val="28"/>
            <w:szCs w:val="2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F54EF8" w:rsidRPr="00F54EF8" w:rsidRDefault="00F920DA">
            <w:pPr>
              <w:pStyle w:val="Stopka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Theme="majorHAnsi" w:hAnsiTheme="majorHAnsi" w:cs="Arial"/>
                <w:sz w:val="28"/>
                <w:szCs w:val="28"/>
              </w:rPr>
              <w:t>s</w:t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tr.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PAGE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822B8B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2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 z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NUMPAGES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822B8B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6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B4" w:rsidRDefault="008D34B4" w:rsidP="00911F3E">
      <w:pPr>
        <w:spacing w:line="240" w:lineRule="auto"/>
      </w:pPr>
      <w:r>
        <w:separator/>
      </w:r>
    </w:p>
  </w:footnote>
  <w:footnote w:type="continuationSeparator" w:id="0">
    <w:p w:rsidR="008D34B4" w:rsidRDefault="008D34B4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EF5"/>
    <w:multiLevelType w:val="hybridMultilevel"/>
    <w:tmpl w:val="09D6CAA0"/>
    <w:lvl w:ilvl="0" w:tplc="6236458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665567"/>
    <w:multiLevelType w:val="hybridMultilevel"/>
    <w:tmpl w:val="CC64B8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A2D5C"/>
    <w:multiLevelType w:val="hybridMultilevel"/>
    <w:tmpl w:val="46EE6DF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DA7FB0"/>
    <w:multiLevelType w:val="hybridMultilevel"/>
    <w:tmpl w:val="DC2C2EDC"/>
    <w:lvl w:ilvl="0" w:tplc="0F76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D640FE"/>
    <w:multiLevelType w:val="hybridMultilevel"/>
    <w:tmpl w:val="120A66C6"/>
    <w:lvl w:ilvl="0" w:tplc="1D4E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5022C7"/>
    <w:multiLevelType w:val="hybridMultilevel"/>
    <w:tmpl w:val="3B0CB5DE"/>
    <w:lvl w:ilvl="0" w:tplc="30DCC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D7EB4"/>
    <w:multiLevelType w:val="hybridMultilevel"/>
    <w:tmpl w:val="0E1CCA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114A"/>
    <w:multiLevelType w:val="hybridMultilevel"/>
    <w:tmpl w:val="296ED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90523"/>
    <w:multiLevelType w:val="hybridMultilevel"/>
    <w:tmpl w:val="1AAC9914"/>
    <w:lvl w:ilvl="0" w:tplc="D730C6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5510B5"/>
    <w:multiLevelType w:val="hybridMultilevel"/>
    <w:tmpl w:val="B6623BCA"/>
    <w:lvl w:ilvl="0" w:tplc="28DA9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FE17E0"/>
    <w:multiLevelType w:val="hybridMultilevel"/>
    <w:tmpl w:val="22FA458E"/>
    <w:lvl w:ilvl="0" w:tplc="75966E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1C14AE"/>
    <w:multiLevelType w:val="hybridMultilevel"/>
    <w:tmpl w:val="2C287B12"/>
    <w:lvl w:ilvl="0" w:tplc="87F2EEA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6C06B0"/>
    <w:multiLevelType w:val="hybridMultilevel"/>
    <w:tmpl w:val="2346BD04"/>
    <w:lvl w:ilvl="0" w:tplc="38FC7F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933F35"/>
    <w:multiLevelType w:val="hybridMultilevel"/>
    <w:tmpl w:val="AAF87E06"/>
    <w:lvl w:ilvl="0" w:tplc="128A7D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67366"/>
    <w:multiLevelType w:val="hybridMultilevel"/>
    <w:tmpl w:val="04023ACA"/>
    <w:lvl w:ilvl="0" w:tplc="9B94E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DC0095"/>
    <w:multiLevelType w:val="hybridMultilevel"/>
    <w:tmpl w:val="02804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B7100"/>
    <w:multiLevelType w:val="hybridMultilevel"/>
    <w:tmpl w:val="F7F65D72"/>
    <w:lvl w:ilvl="0" w:tplc="9A068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C260BA"/>
    <w:multiLevelType w:val="hybridMultilevel"/>
    <w:tmpl w:val="2F9499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A5552"/>
    <w:multiLevelType w:val="hybridMultilevel"/>
    <w:tmpl w:val="488C8FDE"/>
    <w:lvl w:ilvl="0" w:tplc="EB12C1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825C95"/>
    <w:multiLevelType w:val="hybridMultilevel"/>
    <w:tmpl w:val="1F740A7E"/>
    <w:lvl w:ilvl="0" w:tplc="318E75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82640F"/>
    <w:multiLevelType w:val="hybridMultilevel"/>
    <w:tmpl w:val="BE183AF2"/>
    <w:lvl w:ilvl="0" w:tplc="00A05E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7C6DE1"/>
    <w:multiLevelType w:val="hybridMultilevel"/>
    <w:tmpl w:val="345070EE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791AC1"/>
    <w:multiLevelType w:val="hybridMultilevel"/>
    <w:tmpl w:val="FAE4C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E742F"/>
    <w:multiLevelType w:val="hybridMultilevel"/>
    <w:tmpl w:val="A93834A6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DB16BE"/>
    <w:multiLevelType w:val="hybridMultilevel"/>
    <w:tmpl w:val="B7E2F72A"/>
    <w:lvl w:ilvl="0" w:tplc="9820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881088"/>
    <w:multiLevelType w:val="hybridMultilevel"/>
    <w:tmpl w:val="CF70A1E2"/>
    <w:lvl w:ilvl="0" w:tplc="8A2E7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7F11D4"/>
    <w:multiLevelType w:val="hybridMultilevel"/>
    <w:tmpl w:val="68FCFDA4"/>
    <w:lvl w:ilvl="0" w:tplc="D67612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F97096"/>
    <w:multiLevelType w:val="hybridMultilevel"/>
    <w:tmpl w:val="5B682ED6"/>
    <w:lvl w:ilvl="0" w:tplc="8BF4A6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FF4701"/>
    <w:multiLevelType w:val="hybridMultilevel"/>
    <w:tmpl w:val="D1C64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25FC4"/>
    <w:multiLevelType w:val="hybridMultilevel"/>
    <w:tmpl w:val="B9520CA0"/>
    <w:lvl w:ilvl="0" w:tplc="BF801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4C7E81"/>
    <w:multiLevelType w:val="hybridMultilevel"/>
    <w:tmpl w:val="FFDE74C4"/>
    <w:lvl w:ilvl="0" w:tplc="9E047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FA72DA"/>
    <w:multiLevelType w:val="hybridMultilevel"/>
    <w:tmpl w:val="6EFAF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7385A"/>
    <w:multiLevelType w:val="hybridMultilevel"/>
    <w:tmpl w:val="C3C84A34"/>
    <w:lvl w:ilvl="0" w:tplc="004CAD8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A46DC5"/>
    <w:multiLevelType w:val="hybridMultilevel"/>
    <w:tmpl w:val="26B8AF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E7FBB"/>
    <w:multiLevelType w:val="hybridMultilevel"/>
    <w:tmpl w:val="ABD0DCBA"/>
    <w:lvl w:ilvl="0" w:tplc="E5184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401F40"/>
    <w:multiLevelType w:val="hybridMultilevel"/>
    <w:tmpl w:val="FFAE5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8B3E29"/>
    <w:multiLevelType w:val="hybridMultilevel"/>
    <w:tmpl w:val="C6345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3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3"/>
  </w:num>
  <w:num w:numId="9">
    <w:abstractNumId w:val="5"/>
  </w:num>
  <w:num w:numId="10">
    <w:abstractNumId w:val="11"/>
  </w:num>
  <w:num w:numId="11">
    <w:abstractNumId w:val="21"/>
  </w:num>
  <w:num w:numId="12">
    <w:abstractNumId w:val="37"/>
  </w:num>
  <w:num w:numId="13">
    <w:abstractNumId w:val="26"/>
  </w:num>
  <w:num w:numId="14">
    <w:abstractNumId w:val="18"/>
  </w:num>
  <w:num w:numId="15">
    <w:abstractNumId w:val="6"/>
  </w:num>
  <w:num w:numId="16">
    <w:abstractNumId w:val="23"/>
  </w:num>
  <w:num w:numId="17">
    <w:abstractNumId w:val="25"/>
  </w:num>
  <w:num w:numId="18">
    <w:abstractNumId w:val="31"/>
  </w:num>
  <w:num w:numId="19">
    <w:abstractNumId w:val="29"/>
  </w:num>
  <w:num w:numId="20">
    <w:abstractNumId w:val="16"/>
  </w:num>
  <w:num w:numId="21">
    <w:abstractNumId w:val="0"/>
  </w:num>
  <w:num w:numId="22">
    <w:abstractNumId w:val="33"/>
  </w:num>
  <w:num w:numId="23">
    <w:abstractNumId w:val="12"/>
  </w:num>
  <w:num w:numId="24">
    <w:abstractNumId w:val="22"/>
  </w:num>
  <w:num w:numId="25">
    <w:abstractNumId w:val="14"/>
  </w:num>
  <w:num w:numId="26">
    <w:abstractNumId w:val="32"/>
  </w:num>
  <w:num w:numId="27">
    <w:abstractNumId w:val="27"/>
  </w:num>
  <w:num w:numId="28">
    <w:abstractNumId w:val="28"/>
  </w:num>
  <w:num w:numId="29">
    <w:abstractNumId w:val="7"/>
  </w:num>
  <w:num w:numId="30">
    <w:abstractNumId w:val="20"/>
  </w:num>
  <w:num w:numId="31">
    <w:abstractNumId w:val="15"/>
  </w:num>
  <w:num w:numId="32">
    <w:abstractNumId w:val="10"/>
  </w:num>
  <w:num w:numId="33">
    <w:abstractNumId w:val="36"/>
  </w:num>
  <w:num w:numId="34">
    <w:abstractNumId w:val="39"/>
  </w:num>
  <w:num w:numId="35">
    <w:abstractNumId w:val="24"/>
  </w:num>
  <w:num w:numId="36">
    <w:abstractNumId w:val="17"/>
  </w:num>
  <w:num w:numId="37">
    <w:abstractNumId w:val="2"/>
  </w:num>
  <w:num w:numId="38">
    <w:abstractNumId w:val="19"/>
  </w:num>
  <w:num w:numId="39">
    <w:abstractNumId w:val="8"/>
  </w:num>
  <w:num w:numId="40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E8B"/>
    <w:rsid w:val="0002792A"/>
    <w:rsid w:val="00041129"/>
    <w:rsid w:val="00093F21"/>
    <w:rsid w:val="000A66F0"/>
    <w:rsid w:val="000A7AF0"/>
    <w:rsid w:val="000E0EC0"/>
    <w:rsid w:val="000F5815"/>
    <w:rsid w:val="00123605"/>
    <w:rsid w:val="00123DB0"/>
    <w:rsid w:val="00144545"/>
    <w:rsid w:val="001479CA"/>
    <w:rsid w:val="001B26DD"/>
    <w:rsid w:val="001B2E6B"/>
    <w:rsid w:val="001B6285"/>
    <w:rsid w:val="001E0495"/>
    <w:rsid w:val="002958B4"/>
    <w:rsid w:val="002B535F"/>
    <w:rsid w:val="002B7BB4"/>
    <w:rsid w:val="002F31AE"/>
    <w:rsid w:val="002F3D63"/>
    <w:rsid w:val="0032402E"/>
    <w:rsid w:val="00327160"/>
    <w:rsid w:val="00327659"/>
    <w:rsid w:val="00343F1F"/>
    <w:rsid w:val="00347767"/>
    <w:rsid w:val="00372521"/>
    <w:rsid w:val="00377DEF"/>
    <w:rsid w:val="00381674"/>
    <w:rsid w:val="003B7C96"/>
    <w:rsid w:val="003D2BF8"/>
    <w:rsid w:val="003E7690"/>
    <w:rsid w:val="004342B4"/>
    <w:rsid w:val="00452599"/>
    <w:rsid w:val="00496C70"/>
    <w:rsid w:val="004B7B81"/>
    <w:rsid w:val="004D3AA8"/>
    <w:rsid w:val="004D3FF1"/>
    <w:rsid w:val="004D6452"/>
    <w:rsid w:val="00522965"/>
    <w:rsid w:val="00524D7D"/>
    <w:rsid w:val="00525155"/>
    <w:rsid w:val="005470E0"/>
    <w:rsid w:val="00554978"/>
    <w:rsid w:val="00557EFB"/>
    <w:rsid w:val="00560391"/>
    <w:rsid w:val="005B4023"/>
    <w:rsid w:val="00602358"/>
    <w:rsid w:val="00613E8D"/>
    <w:rsid w:val="006746FA"/>
    <w:rsid w:val="006A406D"/>
    <w:rsid w:val="006A5E41"/>
    <w:rsid w:val="0070532A"/>
    <w:rsid w:val="0071565A"/>
    <w:rsid w:val="007414B5"/>
    <w:rsid w:val="0074303C"/>
    <w:rsid w:val="00783CE4"/>
    <w:rsid w:val="00796484"/>
    <w:rsid w:val="007A2D0C"/>
    <w:rsid w:val="007E354B"/>
    <w:rsid w:val="007F22F1"/>
    <w:rsid w:val="00816F74"/>
    <w:rsid w:val="00822B8B"/>
    <w:rsid w:val="00844C5B"/>
    <w:rsid w:val="00856E9E"/>
    <w:rsid w:val="0087171D"/>
    <w:rsid w:val="0087708E"/>
    <w:rsid w:val="00891937"/>
    <w:rsid w:val="00897E46"/>
    <w:rsid w:val="008A1F9E"/>
    <w:rsid w:val="008A6285"/>
    <w:rsid w:val="008D2025"/>
    <w:rsid w:val="008D34B4"/>
    <w:rsid w:val="008D7CF4"/>
    <w:rsid w:val="008F4C0F"/>
    <w:rsid w:val="008F5C04"/>
    <w:rsid w:val="00911F3E"/>
    <w:rsid w:val="00920EFB"/>
    <w:rsid w:val="00945415"/>
    <w:rsid w:val="00961BB9"/>
    <w:rsid w:val="009631DA"/>
    <w:rsid w:val="009666D9"/>
    <w:rsid w:val="00984F29"/>
    <w:rsid w:val="00992E25"/>
    <w:rsid w:val="009A6AD0"/>
    <w:rsid w:val="009B1FDF"/>
    <w:rsid w:val="009D1E7D"/>
    <w:rsid w:val="009D42F1"/>
    <w:rsid w:val="00A01A04"/>
    <w:rsid w:val="00A04447"/>
    <w:rsid w:val="00A50686"/>
    <w:rsid w:val="00A64007"/>
    <w:rsid w:val="00A74609"/>
    <w:rsid w:val="00A90DB1"/>
    <w:rsid w:val="00A93B28"/>
    <w:rsid w:val="00AA6671"/>
    <w:rsid w:val="00AC3320"/>
    <w:rsid w:val="00AD1FC6"/>
    <w:rsid w:val="00AD2A10"/>
    <w:rsid w:val="00AF7635"/>
    <w:rsid w:val="00B26B9A"/>
    <w:rsid w:val="00B401A4"/>
    <w:rsid w:val="00B61C72"/>
    <w:rsid w:val="00B65FA1"/>
    <w:rsid w:val="00B769EF"/>
    <w:rsid w:val="00B8090F"/>
    <w:rsid w:val="00B836A7"/>
    <w:rsid w:val="00B85EA2"/>
    <w:rsid w:val="00B96113"/>
    <w:rsid w:val="00BC71C6"/>
    <w:rsid w:val="00BE79B1"/>
    <w:rsid w:val="00C329DC"/>
    <w:rsid w:val="00C82E0A"/>
    <w:rsid w:val="00C972C7"/>
    <w:rsid w:val="00CA4E92"/>
    <w:rsid w:val="00CE05BA"/>
    <w:rsid w:val="00D05FAA"/>
    <w:rsid w:val="00D10E93"/>
    <w:rsid w:val="00D15A32"/>
    <w:rsid w:val="00D167E4"/>
    <w:rsid w:val="00D6344D"/>
    <w:rsid w:val="00D6344F"/>
    <w:rsid w:val="00D9374F"/>
    <w:rsid w:val="00DC23BD"/>
    <w:rsid w:val="00DE7DC9"/>
    <w:rsid w:val="00E30C0F"/>
    <w:rsid w:val="00E55AEF"/>
    <w:rsid w:val="00E64B51"/>
    <w:rsid w:val="00E80F64"/>
    <w:rsid w:val="00E852C1"/>
    <w:rsid w:val="00ED71B7"/>
    <w:rsid w:val="00F133C1"/>
    <w:rsid w:val="00F43BD1"/>
    <w:rsid w:val="00F54EF8"/>
    <w:rsid w:val="00F57BB6"/>
    <w:rsid w:val="00F83659"/>
    <w:rsid w:val="00F920DA"/>
    <w:rsid w:val="00FA6BA5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00D9287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347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4A868-C80C-4008-BCA8-E20272070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2</cp:revision>
  <cp:lastPrinted>2024-05-07T10:27:00Z</cp:lastPrinted>
  <dcterms:created xsi:type="dcterms:W3CDTF">2026-07-28T10:59:00Z</dcterms:created>
  <dcterms:modified xsi:type="dcterms:W3CDTF">2026-07-28T10:59:00Z</dcterms:modified>
</cp:coreProperties>
</file>