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4D" w:rsidRPr="00F825C2" w:rsidRDefault="00DB4E4D" w:rsidP="00DB4E4D">
      <w:pPr>
        <w:ind w:left="-142" w:hanging="709"/>
        <w:rPr>
          <w:rFonts w:ascii="Arial" w:hAnsi="Arial" w:cs="Arial"/>
          <w:b/>
          <w:sz w:val="26"/>
          <w:szCs w:val="26"/>
        </w:rPr>
      </w:pPr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437632" w:rsidRDefault="003A37CC" w:rsidP="00AF3AC0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OK.1101.2</w:t>
      </w:r>
      <w:r w:rsidR="00DA3EB1">
        <w:rPr>
          <w:rFonts w:ascii="Arial" w:hAnsi="Arial" w:cs="Arial"/>
          <w:b/>
          <w:sz w:val="26"/>
          <w:szCs w:val="26"/>
        </w:rPr>
        <w:t>2</w:t>
      </w:r>
      <w:r w:rsidR="006C1AE8">
        <w:rPr>
          <w:rFonts w:ascii="Arial" w:hAnsi="Arial" w:cs="Arial"/>
          <w:b/>
          <w:sz w:val="26"/>
          <w:szCs w:val="26"/>
        </w:rPr>
        <w:t>.2025</w:t>
      </w:r>
    </w:p>
    <w:p w:rsidR="000103C2" w:rsidRDefault="000103C2" w:rsidP="00AF3AC0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3C6D3A" w:rsidRDefault="00DB4E4D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TEST</w:t>
      </w:r>
    </w:p>
    <w:p w:rsidR="000103C2" w:rsidRPr="00AF3AC0" w:rsidRDefault="000103C2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Na zasadach określonych w Kodeksie karnym odpowiada ten, kto popełnia czyn zabroniony po ukończeniu:</w:t>
      </w:r>
    </w:p>
    <w:p w:rsidR="00437632" w:rsidRPr="00AF3AC0" w:rsidRDefault="00654FDA" w:rsidP="00AF3AC0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15 lat;</w:t>
      </w:r>
    </w:p>
    <w:p w:rsidR="00437632" w:rsidRPr="00447A30" w:rsidRDefault="00654FDA" w:rsidP="00AF3AC0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17 lat;</w:t>
      </w:r>
    </w:p>
    <w:p w:rsidR="00437632" w:rsidRPr="00AF3AC0" w:rsidRDefault="00437632" w:rsidP="00AF3AC0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18 lat.</w:t>
      </w:r>
    </w:p>
    <w:p w:rsidR="0009200A" w:rsidRPr="00AF3AC0" w:rsidRDefault="0009200A" w:rsidP="00AF3AC0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Jeżeli czyn wyczerpuje znamiona przestępstw określonych w dwóch albo więcej przepisów ustawy karnej, wymierzana jest kara na podstawie:</w:t>
      </w:r>
    </w:p>
    <w:p w:rsidR="00437632" w:rsidRPr="00447A30" w:rsidRDefault="00437632" w:rsidP="00AF3AC0">
      <w:pPr>
        <w:pStyle w:val="Akapitzlist"/>
        <w:numPr>
          <w:ilvl w:val="0"/>
          <w:numId w:val="3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przepisu, kt</w:t>
      </w:r>
      <w:r w:rsidR="00654FDA" w:rsidRPr="00447A30">
        <w:rPr>
          <w:rFonts w:ascii="Arial" w:hAnsi="Arial" w:cs="Arial"/>
          <w:b/>
          <w:szCs w:val="24"/>
        </w:rPr>
        <w:t>óry przewiduje najsurowszą karę;</w:t>
      </w:r>
    </w:p>
    <w:p w:rsidR="00437632" w:rsidRPr="00AF3AC0" w:rsidRDefault="00437632" w:rsidP="00AF3AC0">
      <w:pPr>
        <w:pStyle w:val="Akapitzlist"/>
        <w:numPr>
          <w:ilvl w:val="0"/>
          <w:numId w:val="3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wszystk</w:t>
      </w:r>
      <w:r w:rsidR="00654FDA" w:rsidRPr="00AF3AC0">
        <w:rPr>
          <w:rFonts w:ascii="Arial" w:hAnsi="Arial" w:cs="Arial"/>
          <w:szCs w:val="24"/>
        </w:rPr>
        <w:t>ich zbiegających się przepisów;</w:t>
      </w:r>
    </w:p>
    <w:p w:rsidR="00437632" w:rsidRPr="00AF3AC0" w:rsidRDefault="00437632" w:rsidP="00AF3AC0">
      <w:pPr>
        <w:pStyle w:val="Akapitzlist"/>
        <w:numPr>
          <w:ilvl w:val="0"/>
          <w:numId w:val="3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przepisu, który jako pierwszy został wskazany w kwalifikacji prawnej czynu.</w:t>
      </w:r>
    </w:p>
    <w:p w:rsidR="00437632" w:rsidRPr="00AF3AC0" w:rsidRDefault="00437632" w:rsidP="00AF3AC0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karnym, czyn zabroniony, którego społeczna szkodliwość czynu jest znikoma:</w:t>
      </w:r>
    </w:p>
    <w:p w:rsidR="00437632" w:rsidRPr="00AF3AC0" w:rsidRDefault="00437632" w:rsidP="00AF3AC0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 xml:space="preserve">stanowi przestępstwo, ale sąd może </w:t>
      </w:r>
      <w:r w:rsidR="00654FDA" w:rsidRPr="00AF3AC0">
        <w:rPr>
          <w:rFonts w:ascii="Arial" w:hAnsi="Arial" w:cs="Arial"/>
          <w:szCs w:val="24"/>
        </w:rPr>
        <w:t>warunkowo umorzyć postępowanie;</w:t>
      </w:r>
    </w:p>
    <w:p w:rsidR="00437632" w:rsidRPr="00447A30" w:rsidRDefault="00654FDA" w:rsidP="00AF3AC0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nie stanowi przestępstwa;</w:t>
      </w:r>
    </w:p>
    <w:p w:rsidR="00437632" w:rsidRPr="00AF3AC0" w:rsidRDefault="00437632" w:rsidP="00AF3AC0">
      <w:pPr>
        <w:pStyle w:val="Akapitzlist"/>
        <w:numPr>
          <w:ilvl w:val="0"/>
          <w:numId w:val="5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stanowi przestępstwo, ale sąd może odstąpić o wymierzenia kary.</w:t>
      </w:r>
    </w:p>
    <w:p w:rsidR="00437632" w:rsidRPr="00AF3AC0" w:rsidRDefault="00437632" w:rsidP="00AF3AC0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karnym odpowiada jak za jeden czyn zabroniony wyczerpujący znamiona przestępstwa ten, kto w krótkich odstępach czasu, przy wykorzystaniu tej samej albo takiej samej sposobności lub w podobny sposób popełnia dwa lub więcej umyślnych wykroczeń przeciwko mieniu:</w:t>
      </w:r>
    </w:p>
    <w:p w:rsidR="00437632" w:rsidRPr="00AF3AC0" w:rsidRDefault="00437632" w:rsidP="00AF3AC0">
      <w:pPr>
        <w:pStyle w:val="Akapitzlist"/>
        <w:numPr>
          <w:ilvl w:val="0"/>
          <w:numId w:val="4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jeżeli przepis szczegól</w:t>
      </w:r>
      <w:r w:rsidR="00654FDA" w:rsidRPr="00AF3AC0">
        <w:rPr>
          <w:rFonts w:ascii="Arial" w:hAnsi="Arial" w:cs="Arial"/>
          <w:szCs w:val="24"/>
        </w:rPr>
        <w:t>ny tak stanowi;</w:t>
      </w:r>
    </w:p>
    <w:p w:rsidR="00437632" w:rsidRPr="00447A30" w:rsidRDefault="00437632" w:rsidP="00AF3AC0">
      <w:pPr>
        <w:pStyle w:val="Akapitzlist"/>
        <w:numPr>
          <w:ilvl w:val="0"/>
          <w:numId w:val="4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jeżeli łączna wartość mienia uzasadnia od</w:t>
      </w:r>
      <w:r w:rsidR="000A3AB3">
        <w:rPr>
          <w:rFonts w:ascii="Arial" w:hAnsi="Arial" w:cs="Arial"/>
          <w:b/>
          <w:szCs w:val="24"/>
        </w:rPr>
        <w:t xml:space="preserve">powiedzialność </w:t>
      </w:r>
      <w:r w:rsidR="00654FDA" w:rsidRPr="00447A30">
        <w:rPr>
          <w:rFonts w:ascii="Arial" w:hAnsi="Arial" w:cs="Arial"/>
          <w:b/>
          <w:szCs w:val="24"/>
        </w:rPr>
        <w:t>za przestępstwo;</w:t>
      </w:r>
    </w:p>
    <w:p w:rsidR="00965F69" w:rsidRPr="005D53BE" w:rsidRDefault="00437632" w:rsidP="00965F69">
      <w:pPr>
        <w:pStyle w:val="Akapitzlist"/>
        <w:numPr>
          <w:ilvl w:val="0"/>
          <w:numId w:val="4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jeżeli</w:t>
      </w:r>
      <w:r w:rsidRPr="00AF3AC0">
        <w:rPr>
          <w:rFonts w:ascii="Arial" w:hAnsi="Arial" w:cs="Arial"/>
          <w:color w:val="333333"/>
          <w:szCs w:val="24"/>
          <w:shd w:val="clear" w:color="auto" w:fill="FFFFFF"/>
        </w:rPr>
        <w:t xml:space="preserve"> okoliczności sprawy oraz stopień rozwoju sprawcy, jego właściwości </w:t>
      </w:r>
      <w:r w:rsidRPr="00AF3AC0">
        <w:rPr>
          <w:rFonts w:ascii="Arial" w:hAnsi="Arial" w:cs="Arial"/>
          <w:color w:val="333333"/>
          <w:szCs w:val="24"/>
          <w:shd w:val="clear" w:color="auto" w:fill="FFFFFF"/>
        </w:rPr>
        <w:br/>
        <w:t>i waru</w:t>
      </w:r>
      <w:r w:rsidR="00654FDA" w:rsidRPr="00AF3AC0">
        <w:rPr>
          <w:rFonts w:ascii="Arial" w:hAnsi="Arial" w:cs="Arial"/>
          <w:color w:val="333333"/>
          <w:szCs w:val="24"/>
          <w:shd w:val="clear" w:color="auto" w:fill="FFFFFF"/>
        </w:rPr>
        <w:t>nki osobiste za tym przemawiają.</w:t>
      </w:r>
    </w:p>
    <w:p w:rsidR="005D53BE" w:rsidRPr="005D53BE" w:rsidRDefault="005D53BE" w:rsidP="005D53BE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  <w:bookmarkStart w:id="0" w:name="_GoBack"/>
      <w:bookmarkEnd w:id="0"/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karnym warunkowo umorzonego postępowania nie można podjąć:</w:t>
      </w:r>
    </w:p>
    <w:p w:rsidR="00437632" w:rsidRPr="00AF3AC0" w:rsidRDefault="00437632" w:rsidP="00AF3AC0">
      <w:pPr>
        <w:pStyle w:val="Akapitzlist"/>
        <w:numPr>
          <w:ilvl w:val="0"/>
          <w:numId w:val="6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po upływie 1 roku od daty uprawomocnienia się orzeczenia warunkowo umarzającego postępowanie;</w:t>
      </w:r>
    </w:p>
    <w:p w:rsidR="00437632" w:rsidRPr="00447A30" w:rsidRDefault="00437632" w:rsidP="00AF3AC0">
      <w:pPr>
        <w:pStyle w:val="Akapitzlist"/>
        <w:numPr>
          <w:ilvl w:val="0"/>
          <w:numId w:val="6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później niż w ciągu 6 miesi</w:t>
      </w:r>
      <w:r w:rsidR="00654FDA" w:rsidRPr="00447A30">
        <w:rPr>
          <w:rFonts w:ascii="Arial" w:hAnsi="Arial" w:cs="Arial"/>
          <w:b/>
          <w:szCs w:val="24"/>
        </w:rPr>
        <w:t>ęcy od zakończenia okresu próby;</w:t>
      </w:r>
    </w:p>
    <w:p w:rsidR="00437632" w:rsidRPr="00AF3AC0" w:rsidRDefault="00437632" w:rsidP="00AF3AC0">
      <w:pPr>
        <w:pStyle w:val="Akapitzlist"/>
        <w:numPr>
          <w:ilvl w:val="0"/>
          <w:numId w:val="6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po upływie 1 roku od daty wydania orzeczenia warunkowo umarzającego pos</w:t>
      </w:r>
      <w:r w:rsidR="00654FDA" w:rsidRPr="00AF3AC0">
        <w:rPr>
          <w:rFonts w:ascii="Arial" w:hAnsi="Arial" w:cs="Arial"/>
          <w:szCs w:val="24"/>
        </w:rPr>
        <w:t>tępowanie.</w:t>
      </w:r>
    </w:p>
    <w:p w:rsidR="00437632" w:rsidRPr="00AF3AC0" w:rsidRDefault="00437632" w:rsidP="00AF3AC0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lastRenderedPageBreak/>
        <w:t>Wyrokiem nakazowym w postępowaniu karnym można orzec:</w:t>
      </w:r>
    </w:p>
    <w:p w:rsidR="00437632" w:rsidRPr="00AF3AC0" w:rsidRDefault="00437632" w:rsidP="00AF3AC0">
      <w:pPr>
        <w:pStyle w:val="Akapitzlist"/>
        <w:numPr>
          <w:ilvl w:val="0"/>
          <w:numId w:val="7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karę grzywny w wys</w:t>
      </w:r>
      <w:r w:rsidR="00654FDA" w:rsidRPr="00AF3AC0">
        <w:rPr>
          <w:rFonts w:ascii="Arial" w:hAnsi="Arial" w:cs="Arial"/>
          <w:szCs w:val="24"/>
        </w:rPr>
        <w:t>okości do 400 stawek dziennych;</w:t>
      </w:r>
    </w:p>
    <w:p w:rsidR="00437632" w:rsidRPr="00447A30" w:rsidRDefault="00437632" w:rsidP="00AF3AC0">
      <w:pPr>
        <w:pStyle w:val="Akapitzlist"/>
        <w:numPr>
          <w:ilvl w:val="0"/>
          <w:numId w:val="7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karę grzywny w wy</w:t>
      </w:r>
      <w:r w:rsidR="00654FDA" w:rsidRPr="00447A30">
        <w:rPr>
          <w:rFonts w:ascii="Arial" w:hAnsi="Arial" w:cs="Arial"/>
          <w:b/>
          <w:szCs w:val="24"/>
        </w:rPr>
        <w:t>sokości do 200 stawek dziennych;</w:t>
      </w:r>
    </w:p>
    <w:p w:rsidR="00437632" w:rsidRPr="00AF3AC0" w:rsidRDefault="00437632" w:rsidP="00AF3AC0">
      <w:pPr>
        <w:pStyle w:val="Akapitzlist"/>
        <w:numPr>
          <w:ilvl w:val="0"/>
          <w:numId w:val="7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karę grzywny w wy</w:t>
      </w:r>
      <w:r w:rsidR="00654FDA" w:rsidRPr="00AF3AC0">
        <w:rPr>
          <w:rFonts w:ascii="Arial" w:hAnsi="Arial" w:cs="Arial"/>
          <w:szCs w:val="24"/>
        </w:rPr>
        <w:t>sokości do 300 stawek dziennych.</w:t>
      </w:r>
    </w:p>
    <w:p w:rsidR="00437632" w:rsidRPr="00AF3AC0" w:rsidRDefault="00437632" w:rsidP="00AF3AC0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Wyrok nakazowy może zostać zaskarżony:</w:t>
      </w:r>
    </w:p>
    <w:p w:rsidR="00437632" w:rsidRPr="00AF3AC0" w:rsidRDefault="00437632" w:rsidP="00AF3AC0">
      <w:pPr>
        <w:pStyle w:val="Akapitzlist"/>
        <w:numPr>
          <w:ilvl w:val="0"/>
          <w:numId w:val="8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apelacją – wnoszoną w terminie 7 dni od daty dorę</w:t>
      </w:r>
      <w:r w:rsidR="00654FDA" w:rsidRPr="00AF3AC0">
        <w:rPr>
          <w:rFonts w:ascii="Arial" w:hAnsi="Arial" w:cs="Arial"/>
          <w:szCs w:val="24"/>
        </w:rPr>
        <w:t>czenia odpisu wyroku nakazowego;</w:t>
      </w:r>
    </w:p>
    <w:p w:rsidR="00437632" w:rsidRPr="00AF3AC0" w:rsidRDefault="00437632" w:rsidP="00AF3AC0">
      <w:pPr>
        <w:pStyle w:val="Akapitzlist"/>
        <w:numPr>
          <w:ilvl w:val="0"/>
          <w:numId w:val="8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zażaleniem – wnoszonym w terminie 7 dni od daty doręc</w:t>
      </w:r>
      <w:r w:rsidR="00654FDA" w:rsidRPr="00AF3AC0">
        <w:rPr>
          <w:rFonts w:ascii="Arial" w:hAnsi="Arial" w:cs="Arial"/>
          <w:szCs w:val="24"/>
        </w:rPr>
        <w:t>zenia odpisu wyroku nakazowego;</w:t>
      </w:r>
    </w:p>
    <w:p w:rsidR="00437632" w:rsidRPr="00447A30" w:rsidRDefault="00437632" w:rsidP="00AF3AC0">
      <w:pPr>
        <w:pStyle w:val="Akapitzlist"/>
        <w:numPr>
          <w:ilvl w:val="0"/>
          <w:numId w:val="8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sprzeciwem – wnoszonym w terminie 7 dni od daty doręczenia odpisu wyroku nakazowego.</w:t>
      </w:r>
    </w:p>
    <w:p w:rsidR="00437632" w:rsidRPr="00AF3AC0" w:rsidRDefault="00437632" w:rsidP="00AF3AC0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postępowania karneg</w:t>
      </w:r>
      <w:r w:rsidR="00BE375C">
        <w:rPr>
          <w:rFonts w:ascii="Arial" w:hAnsi="Arial" w:cs="Arial"/>
          <w:b/>
          <w:szCs w:val="24"/>
        </w:rPr>
        <w:t xml:space="preserve">o na postanowienie Prokuratora </w:t>
      </w:r>
      <w:r w:rsidRPr="00AF3AC0">
        <w:rPr>
          <w:rFonts w:ascii="Arial" w:hAnsi="Arial" w:cs="Arial"/>
          <w:b/>
          <w:szCs w:val="24"/>
        </w:rPr>
        <w:t>o zastosowaniu środka zapobiegawczego w postaci dozoru Policji przysługuje zażalenie do:</w:t>
      </w:r>
    </w:p>
    <w:p w:rsidR="00437632" w:rsidRPr="00AF3AC0" w:rsidRDefault="00654FDA" w:rsidP="00AF3AC0">
      <w:pPr>
        <w:pStyle w:val="Akapitzlist"/>
        <w:numPr>
          <w:ilvl w:val="0"/>
          <w:numId w:val="9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prokuratora nadrzędnego;</w:t>
      </w:r>
    </w:p>
    <w:p w:rsidR="00437632" w:rsidRPr="00447A30" w:rsidRDefault="00437632" w:rsidP="00AF3AC0">
      <w:pPr>
        <w:pStyle w:val="Akapitzlist"/>
        <w:numPr>
          <w:ilvl w:val="0"/>
          <w:numId w:val="9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sądu rejonowego, w którego o</w:t>
      </w:r>
      <w:r w:rsidR="00654FDA" w:rsidRPr="00447A30">
        <w:rPr>
          <w:rFonts w:ascii="Arial" w:hAnsi="Arial" w:cs="Arial"/>
          <w:b/>
          <w:szCs w:val="24"/>
        </w:rPr>
        <w:t>kręgu prowadzi się postępowanie;</w:t>
      </w:r>
    </w:p>
    <w:p w:rsidR="00437632" w:rsidRPr="00AF3AC0" w:rsidRDefault="00437632" w:rsidP="00AF3AC0">
      <w:pPr>
        <w:pStyle w:val="Akapitzlist"/>
        <w:numPr>
          <w:ilvl w:val="0"/>
          <w:numId w:val="9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sądu okręgowego, w którego okręgu prowadzi się postępowanie.</w:t>
      </w:r>
    </w:p>
    <w:p w:rsidR="00437632" w:rsidRPr="00AF3AC0" w:rsidRDefault="00437632" w:rsidP="00AF3AC0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postępowania karnego sąd może odroczyć wydanie wyroku:</w:t>
      </w:r>
    </w:p>
    <w:p w:rsidR="00437632" w:rsidRPr="00447A30" w:rsidRDefault="00437632" w:rsidP="00AF3AC0">
      <w:pPr>
        <w:pStyle w:val="Akapitzlist"/>
        <w:numPr>
          <w:ilvl w:val="0"/>
          <w:numId w:val="10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 xml:space="preserve">w sprawie zawiłej lub z innych ważnych powodów na </w:t>
      </w:r>
      <w:r w:rsidR="00447A30" w:rsidRPr="00447A30">
        <w:rPr>
          <w:rFonts w:ascii="Arial" w:hAnsi="Arial" w:cs="Arial"/>
          <w:b/>
          <w:szCs w:val="24"/>
        </w:rPr>
        <w:t xml:space="preserve">czas nieprzekraczających </w:t>
      </w:r>
      <w:r w:rsidR="00654FDA" w:rsidRPr="00447A30">
        <w:rPr>
          <w:rFonts w:ascii="Arial" w:hAnsi="Arial" w:cs="Arial"/>
          <w:b/>
          <w:szCs w:val="24"/>
        </w:rPr>
        <w:t>14 dni;</w:t>
      </w:r>
    </w:p>
    <w:p w:rsidR="00437632" w:rsidRPr="00AF3AC0" w:rsidRDefault="00437632" w:rsidP="00AF3AC0">
      <w:pPr>
        <w:pStyle w:val="Akapitzlist"/>
        <w:numPr>
          <w:ilvl w:val="0"/>
          <w:numId w:val="10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w sprawie zawiłej lub z innych ważnych powo</w:t>
      </w:r>
      <w:r w:rsidR="00447A30">
        <w:rPr>
          <w:rFonts w:ascii="Arial" w:hAnsi="Arial" w:cs="Arial"/>
          <w:szCs w:val="24"/>
        </w:rPr>
        <w:t xml:space="preserve">dów na czas nieprzekraczających </w:t>
      </w:r>
      <w:r w:rsidRPr="00AF3AC0">
        <w:rPr>
          <w:rFonts w:ascii="Arial" w:hAnsi="Arial" w:cs="Arial"/>
          <w:szCs w:val="24"/>
        </w:rPr>
        <w:t>30</w:t>
      </w:r>
      <w:r w:rsidR="00654FDA" w:rsidRPr="00AF3AC0">
        <w:rPr>
          <w:rFonts w:ascii="Arial" w:hAnsi="Arial" w:cs="Arial"/>
          <w:szCs w:val="24"/>
        </w:rPr>
        <w:t xml:space="preserve"> dni;</w:t>
      </w:r>
    </w:p>
    <w:p w:rsidR="00AF3AC0" w:rsidRDefault="00437632" w:rsidP="00447A30">
      <w:pPr>
        <w:pStyle w:val="Akapitzlist"/>
        <w:numPr>
          <w:ilvl w:val="0"/>
          <w:numId w:val="10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w sprawie zawiłej lub z innych ważnych powo</w:t>
      </w:r>
      <w:r w:rsidR="00447A30">
        <w:rPr>
          <w:rFonts w:ascii="Arial" w:hAnsi="Arial" w:cs="Arial"/>
          <w:szCs w:val="24"/>
        </w:rPr>
        <w:t xml:space="preserve">dów na czas nieprzekraczających </w:t>
      </w:r>
      <w:r w:rsidRPr="00AF3AC0">
        <w:rPr>
          <w:rFonts w:ascii="Arial" w:hAnsi="Arial" w:cs="Arial"/>
          <w:szCs w:val="24"/>
        </w:rPr>
        <w:t>21 dni.</w:t>
      </w:r>
    </w:p>
    <w:p w:rsidR="00447A30" w:rsidRPr="00447A30" w:rsidRDefault="00447A30" w:rsidP="00447A30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</w:t>
      </w:r>
      <w:r w:rsidR="0010664B">
        <w:rPr>
          <w:rFonts w:ascii="Arial" w:hAnsi="Arial" w:cs="Arial"/>
          <w:b/>
          <w:szCs w:val="24"/>
        </w:rPr>
        <w:t xml:space="preserve"> Kodeksem postępowania karnego, </w:t>
      </w:r>
      <w:r w:rsidRPr="00AF3AC0">
        <w:rPr>
          <w:rFonts w:ascii="Arial" w:hAnsi="Arial" w:cs="Arial"/>
          <w:b/>
          <w:szCs w:val="24"/>
        </w:rPr>
        <w:t>w przedmiocie warunkowego umorzenia postępowania sąd orzeka:</w:t>
      </w:r>
    </w:p>
    <w:p w:rsidR="00437632" w:rsidRPr="00AF3AC0" w:rsidRDefault="00437632" w:rsidP="00AF3AC0">
      <w:pPr>
        <w:pStyle w:val="Akapitzlist"/>
        <w:numPr>
          <w:ilvl w:val="0"/>
          <w:numId w:val="11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wyłącznie na posiedzeniu – po</w:t>
      </w:r>
      <w:r w:rsidR="009D14ED" w:rsidRPr="00AF3AC0">
        <w:rPr>
          <w:rFonts w:ascii="Arial" w:hAnsi="Arial" w:cs="Arial"/>
          <w:szCs w:val="24"/>
        </w:rPr>
        <w:t>stanowieniem;</w:t>
      </w:r>
    </w:p>
    <w:p w:rsidR="00437632" w:rsidRPr="00AF3AC0" w:rsidRDefault="00437632" w:rsidP="00AF3AC0">
      <w:pPr>
        <w:pStyle w:val="Akapitzlist"/>
        <w:numPr>
          <w:ilvl w:val="0"/>
          <w:numId w:val="11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na posiedzeniu – postanowien</w:t>
      </w:r>
      <w:r w:rsidR="009D14ED" w:rsidRPr="00AF3AC0">
        <w:rPr>
          <w:rFonts w:ascii="Arial" w:hAnsi="Arial" w:cs="Arial"/>
          <w:szCs w:val="24"/>
        </w:rPr>
        <w:t>iem, a na rozprawie – wyrokiem;</w:t>
      </w:r>
    </w:p>
    <w:p w:rsidR="00437632" w:rsidRPr="00447A30" w:rsidRDefault="00437632" w:rsidP="00AF3AC0">
      <w:pPr>
        <w:pStyle w:val="Akapitzlist"/>
        <w:numPr>
          <w:ilvl w:val="0"/>
          <w:numId w:val="11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na posiedzeniu albo na rozprawie – wyrokiem.</w:t>
      </w:r>
    </w:p>
    <w:p w:rsidR="00437632" w:rsidRPr="00AF3AC0" w:rsidRDefault="00437632" w:rsidP="00AF3AC0">
      <w:pPr>
        <w:pStyle w:val="Akapitzlist"/>
        <w:spacing w:after="16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postępowania karnego, od orzeczenia sądu odwoławczego uchylającego wyrok sądu I instancji i przekazującego sprawę do ponownego rozpoznania stronom przysługuje:</w:t>
      </w:r>
    </w:p>
    <w:p w:rsidR="00437632" w:rsidRPr="00447A30" w:rsidRDefault="009D14ED" w:rsidP="00AF3AC0">
      <w:pPr>
        <w:pStyle w:val="Akapitzlist"/>
        <w:numPr>
          <w:ilvl w:val="0"/>
          <w:numId w:val="15"/>
        </w:numPr>
        <w:spacing w:after="16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skarga do Sądu Najwyższego;</w:t>
      </w:r>
    </w:p>
    <w:p w:rsidR="00437632" w:rsidRPr="00AF3AC0" w:rsidRDefault="00437632" w:rsidP="00AF3AC0">
      <w:pPr>
        <w:pStyle w:val="Akapitzlist"/>
        <w:numPr>
          <w:ilvl w:val="0"/>
          <w:numId w:val="15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skarga</w:t>
      </w:r>
      <w:r w:rsidR="009D14ED" w:rsidRPr="00AF3AC0">
        <w:rPr>
          <w:rFonts w:ascii="Arial" w:hAnsi="Arial" w:cs="Arial"/>
          <w:szCs w:val="24"/>
        </w:rPr>
        <w:t xml:space="preserve"> kasacyjna do Sądu Najwyższego;</w:t>
      </w:r>
    </w:p>
    <w:p w:rsidR="00437632" w:rsidRPr="00AF3AC0" w:rsidRDefault="00437632" w:rsidP="00AF3AC0">
      <w:pPr>
        <w:pStyle w:val="Akapitzlist"/>
        <w:numPr>
          <w:ilvl w:val="0"/>
          <w:numId w:val="15"/>
        </w:numPr>
        <w:spacing w:after="16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zażalenie do Sądu Najwyższego.</w:t>
      </w:r>
    </w:p>
    <w:p w:rsidR="00437632" w:rsidRPr="00AF3AC0" w:rsidRDefault="00437632" w:rsidP="00AF3AC0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Termin do złożenia wniosku o przywrócenie terminu zawitego:</w:t>
      </w:r>
    </w:p>
    <w:p w:rsidR="00437632" w:rsidRPr="00AF3AC0" w:rsidRDefault="00E6713A" w:rsidP="00AF3AC0">
      <w:pPr>
        <w:pStyle w:val="Akapitzlist"/>
        <w:numPr>
          <w:ilvl w:val="0"/>
          <w:numId w:val="12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wynosi</w:t>
      </w:r>
      <w:r w:rsidR="00437632" w:rsidRPr="00AF3AC0">
        <w:rPr>
          <w:rFonts w:ascii="Arial" w:hAnsi="Arial" w:cs="Arial"/>
          <w:szCs w:val="24"/>
        </w:rPr>
        <w:t xml:space="preserve"> 7 dni i biegnie od daty uprawomocnienia się orzeczenia;</w:t>
      </w:r>
    </w:p>
    <w:p w:rsidR="00437632" w:rsidRPr="00447A30" w:rsidRDefault="00E6713A" w:rsidP="00AF3AC0">
      <w:pPr>
        <w:pStyle w:val="Akapitzlist"/>
        <w:numPr>
          <w:ilvl w:val="0"/>
          <w:numId w:val="12"/>
        </w:numPr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wynosi</w:t>
      </w:r>
      <w:r w:rsidR="00437632" w:rsidRPr="00447A30">
        <w:rPr>
          <w:rFonts w:ascii="Arial" w:hAnsi="Arial" w:cs="Arial"/>
          <w:b/>
          <w:szCs w:val="24"/>
        </w:rPr>
        <w:t xml:space="preserve"> 7 dni i biegnie od daty ustania przeszkody uniemożliwiającej dokonanie czynności w terminie;</w:t>
      </w:r>
    </w:p>
    <w:p w:rsidR="00437632" w:rsidRPr="00AF3AC0" w:rsidRDefault="00E6713A" w:rsidP="00AF3AC0">
      <w:pPr>
        <w:pStyle w:val="Akapitzlist"/>
        <w:numPr>
          <w:ilvl w:val="0"/>
          <w:numId w:val="12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lastRenderedPageBreak/>
        <w:t>wynosi</w:t>
      </w:r>
      <w:r w:rsidR="00437632" w:rsidRPr="00AF3AC0">
        <w:rPr>
          <w:rFonts w:ascii="Arial" w:hAnsi="Arial" w:cs="Arial"/>
          <w:szCs w:val="24"/>
        </w:rPr>
        <w:t xml:space="preserve"> 7 dni i biegnie od daty rozpoczęcia wykonywania orzeczonej kary.</w:t>
      </w:r>
    </w:p>
    <w:p w:rsidR="00437632" w:rsidRPr="00AF3AC0" w:rsidRDefault="00437632" w:rsidP="00AF3AC0">
      <w:pPr>
        <w:pStyle w:val="Akapitzlist"/>
        <w:spacing w:after="200" w:line="276" w:lineRule="auto"/>
        <w:ind w:left="1068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Karą łączną orzekaną w wyroku łącznym można połączyć:</w:t>
      </w:r>
    </w:p>
    <w:p w:rsidR="00437632" w:rsidRPr="00447A30" w:rsidRDefault="00437632" w:rsidP="00AF3AC0">
      <w:pPr>
        <w:pStyle w:val="Akapitzlist"/>
        <w:numPr>
          <w:ilvl w:val="0"/>
          <w:numId w:val="13"/>
        </w:numPr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tylko kary orzeczone przez sądy polskie;</w:t>
      </w:r>
    </w:p>
    <w:p w:rsidR="00437632" w:rsidRPr="00AF3AC0" w:rsidRDefault="00437632" w:rsidP="00AF3AC0">
      <w:pPr>
        <w:pStyle w:val="Akapitzlist"/>
        <w:numPr>
          <w:ilvl w:val="0"/>
          <w:numId w:val="13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kary orzeczone przez sądy polskie oraz kary orzeczone przez sądy państw Unii Europejskiej;</w:t>
      </w:r>
    </w:p>
    <w:p w:rsidR="00437632" w:rsidRPr="00AF3AC0" w:rsidRDefault="00437632" w:rsidP="00AF3AC0">
      <w:pPr>
        <w:pStyle w:val="Akapitzlist"/>
        <w:numPr>
          <w:ilvl w:val="0"/>
          <w:numId w:val="13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wszystkie kary; niezależnie czy orzeczone przez polskie czy zagraniczne sądy.</w:t>
      </w:r>
    </w:p>
    <w:p w:rsidR="00437632" w:rsidRPr="00AF3AC0" w:rsidRDefault="00437632" w:rsidP="00AF3AC0">
      <w:pPr>
        <w:pStyle w:val="Akapitzlist"/>
        <w:spacing w:after="200" w:line="276" w:lineRule="auto"/>
        <w:ind w:left="1080"/>
        <w:rPr>
          <w:rFonts w:ascii="Arial" w:hAnsi="Arial" w:cs="Arial"/>
          <w:szCs w:val="24"/>
        </w:rPr>
      </w:pPr>
    </w:p>
    <w:p w:rsidR="00280276" w:rsidRPr="00280276" w:rsidRDefault="00437632" w:rsidP="00280276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  <w:shd w:val="clear" w:color="auto" w:fill="FFFFFF"/>
        </w:rPr>
        <w:t>Jeżeli przestępstwo jest zagrożone tylko karą pozbawienia wolności nieprzekraczającą 8 lat, a wymierzona za nie kara pozbawienia wolności nie by</w:t>
      </w:r>
      <w:r w:rsidR="00280276">
        <w:rPr>
          <w:rFonts w:ascii="Arial" w:hAnsi="Arial" w:cs="Arial"/>
          <w:b/>
          <w:szCs w:val="24"/>
          <w:shd w:val="clear" w:color="auto" w:fill="FFFFFF"/>
        </w:rPr>
        <w:t>łaby surowsza od roku, sąd może: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szCs w:val="24"/>
          <w:shd w:val="clear" w:color="auto" w:fill="FFFFFF"/>
        </w:rPr>
      </w:pPr>
      <w:r w:rsidRPr="00280276">
        <w:rPr>
          <w:rFonts w:ascii="Arial" w:hAnsi="Arial" w:cs="Arial"/>
          <w:szCs w:val="24"/>
          <w:shd w:val="clear" w:color="auto" w:fill="FFFFFF"/>
        </w:rPr>
        <w:t>a)</w:t>
      </w:r>
      <w:r>
        <w:rPr>
          <w:rFonts w:ascii="Arial" w:hAnsi="Arial" w:cs="Arial"/>
          <w:b/>
          <w:szCs w:val="24"/>
          <w:shd w:val="clear" w:color="auto" w:fill="FFFFFF"/>
        </w:rPr>
        <w:t xml:space="preserve"> </w:t>
      </w:r>
      <w:r w:rsidR="00437632" w:rsidRPr="00280276">
        <w:rPr>
          <w:rFonts w:ascii="Arial" w:hAnsi="Arial" w:cs="Arial"/>
          <w:szCs w:val="24"/>
          <w:shd w:val="clear" w:color="auto" w:fill="FFFFFF"/>
        </w:rPr>
        <w:t xml:space="preserve">zamiast tej kary orzec karę ograniczenia wolności nie niższą od 6 miesięcy, 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 xml:space="preserve">    </w:t>
      </w:r>
      <w:r w:rsidR="00437632" w:rsidRPr="00280276">
        <w:rPr>
          <w:rFonts w:ascii="Arial" w:hAnsi="Arial" w:cs="Arial"/>
          <w:szCs w:val="24"/>
          <w:shd w:val="clear" w:color="auto" w:fill="FFFFFF"/>
        </w:rPr>
        <w:t>jeżeli równocześnie orzeka środek karny, środek kompensacyjny</w:t>
      </w:r>
      <w:r w:rsidR="009D14ED" w:rsidRPr="00280276">
        <w:rPr>
          <w:rFonts w:ascii="Arial" w:hAnsi="Arial" w:cs="Arial"/>
          <w:szCs w:val="24"/>
          <w:shd w:val="clear" w:color="auto" w:fill="FFFFFF"/>
        </w:rPr>
        <w:t xml:space="preserve"> lub 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 xml:space="preserve">    przepadek: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b/>
          <w:szCs w:val="24"/>
          <w:shd w:val="clear" w:color="auto" w:fill="FFFFFF"/>
        </w:rPr>
      </w:pPr>
      <w:r w:rsidRPr="00280276">
        <w:rPr>
          <w:rFonts w:ascii="Arial" w:hAnsi="Arial" w:cs="Arial"/>
          <w:b/>
          <w:szCs w:val="24"/>
          <w:shd w:val="clear" w:color="auto" w:fill="FFFFFF"/>
        </w:rPr>
        <w:t>b)</w:t>
      </w:r>
      <w:r>
        <w:rPr>
          <w:rFonts w:ascii="Arial" w:hAnsi="Arial" w:cs="Arial"/>
          <w:szCs w:val="24"/>
          <w:shd w:val="clear" w:color="auto" w:fill="FFFFFF"/>
        </w:rPr>
        <w:t xml:space="preserve"> </w:t>
      </w:r>
      <w:r w:rsidR="00437632" w:rsidRPr="00280276">
        <w:rPr>
          <w:rFonts w:ascii="Arial" w:hAnsi="Arial" w:cs="Arial"/>
          <w:b/>
          <w:szCs w:val="24"/>
          <w:shd w:val="clear" w:color="auto" w:fill="FFFFFF"/>
        </w:rPr>
        <w:t xml:space="preserve">zamiast tej kary orzec karę ograniczenia wolności nie niższą od 4 </w:t>
      </w:r>
      <w:r>
        <w:rPr>
          <w:rFonts w:ascii="Arial" w:hAnsi="Arial" w:cs="Arial"/>
          <w:b/>
          <w:szCs w:val="24"/>
          <w:shd w:val="clear" w:color="auto" w:fill="FFFFFF"/>
        </w:rPr>
        <w:t xml:space="preserve">   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    </w:t>
      </w:r>
      <w:r w:rsidR="00437632" w:rsidRPr="00280276">
        <w:rPr>
          <w:rFonts w:ascii="Arial" w:hAnsi="Arial" w:cs="Arial"/>
          <w:b/>
          <w:szCs w:val="24"/>
          <w:shd w:val="clear" w:color="auto" w:fill="FFFFFF"/>
        </w:rPr>
        <w:t xml:space="preserve">miesięcy albo grzywnę nie </w:t>
      </w:r>
      <w:r>
        <w:rPr>
          <w:rFonts w:ascii="Arial" w:hAnsi="Arial" w:cs="Arial"/>
          <w:b/>
          <w:szCs w:val="24"/>
          <w:shd w:val="clear" w:color="auto" w:fill="FFFFFF"/>
        </w:rPr>
        <w:t>niższą od 150 stawek dziennych,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    </w:t>
      </w:r>
      <w:r w:rsidR="00437632" w:rsidRPr="00280276">
        <w:rPr>
          <w:rFonts w:ascii="Arial" w:hAnsi="Arial" w:cs="Arial"/>
          <w:b/>
          <w:szCs w:val="24"/>
          <w:shd w:val="clear" w:color="auto" w:fill="FFFFFF"/>
        </w:rPr>
        <w:t>w szczególności jeżeli równocześnie orzeka środek karny, śro</w:t>
      </w:r>
      <w:r w:rsidR="009D14ED" w:rsidRPr="00280276">
        <w:rPr>
          <w:rFonts w:ascii="Arial" w:hAnsi="Arial" w:cs="Arial"/>
          <w:b/>
          <w:szCs w:val="24"/>
          <w:shd w:val="clear" w:color="auto" w:fill="FFFFFF"/>
        </w:rPr>
        <w:t xml:space="preserve">dek 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    </w:t>
      </w:r>
      <w:r w:rsidR="009D14ED" w:rsidRPr="00280276">
        <w:rPr>
          <w:rFonts w:ascii="Arial" w:hAnsi="Arial" w:cs="Arial"/>
          <w:b/>
          <w:szCs w:val="24"/>
          <w:shd w:val="clear" w:color="auto" w:fill="FFFFFF"/>
        </w:rPr>
        <w:t>kompensacyjny lub przepadek;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szCs w:val="24"/>
          <w:shd w:val="clear" w:color="auto" w:fill="FFFFFF"/>
        </w:rPr>
      </w:pPr>
      <w:r w:rsidRPr="00280276">
        <w:rPr>
          <w:rFonts w:ascii="Arial" w:hAnsi="Arial" w:cs="Arial"/>
          <w:szCs w:val="24"/>
          <w:shd w:val="clear" w:color="auto" w:fill="FFFFFF"/>
        </w:rPr>
        <w:t>c)</w:t>
      </w:r>
      <w:r>
        <w:rPr>
          <w:rFonts w:ascii="Arial" w:hAnsi="Arial" w:cs="Arial"/>
          <w:b/>
          <w:szCs w:val="24"/>
          <w:shd w:val="clear" w:color="auto" w:fill="FFFFFF"/>
        </w:rPr>
        <w:t xml:space="preserve"> </w:t>
      </w:r>
      <w:r w:rsidR="00437632" w:rsidRPr="00280276">
        <w:rPr>
          <w:rFonts w:ascii="Arial" w:hAnsi="Arial" w:cs="Arial"/>
          <w:szCs w:val="24"/>
          <w:shd w:val="clear" w:color="auto" w:fill="FFFFFF"/>
        </w:rPr>
        <w:t xml:space="preserve">zamiast tej kary orzec karę ograniczenia wolności nie niższą od 3 miesięcy 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 xml:space="preserve">    </w:t>
      </w:r>
      <w:r w:rsidR="00437632" w:rsidRPr="00280276">
        <w:rPr>
          <w:rFonts w:ascii="Arial" w:hAnsi="Arial" w:cs="Arial"/>
          <w:szCs w:val="24"/>
          <w:shd w:val="clear" w:color="auto" w:fill="FFFFFF"/>
        </w:rPr>
        <w:t xml:space="preserve">albo grzywnę nie niższą od 100 stawek dziennych, jeżeli równocześnie </w:t>
      </w:r>
    </w:p>
    <w:p w:rsidR="00AF3AC0" w:rsidRPr="00280276" w:rsidRDefault="00280276" w:rsidP="00280276">
      <w:pPr>
        <w:pStyle w:val="Akapitzlist"/>
        <w:spacing w:after="200"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 xml:space="preserve">    </w:t>
      </w:r>
      <w:r w:rsidR="00437632" w:rsidRPr="00280276">
        <w:rPr>
          <w:rFonts w:ascii="Arial" w:hAnsi="Arial" w:cs="Arial"/>
          <w:szCs w:val="24"/>
          <w:shd w:val="clear" w:color="auto" w:fill="FFFFFF"/>
        </w:rPr>
        <w:t>orzeka środek karny, środek kompensacyjny lub przepadek.</w:t>
      </w:r>
    </w:p>
    <w:p w:rsidR="00AF3AC0" w:rsidRPr="00AF3AC0" w:rsidRDefault="00AF3AC0" w:rsidP="00AF3AC0">
      <w:pPr>
        <w:pStyle w:val="Akapitzlist"/>
        <w:spacing w:after="20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Sąd może warunkowo zawiesić wykonanie kary pozbawienia wolności, jeżeli:</w:t>
      </w:r>
    </w:p>
    <w:p w:rsidR="00437632" w:rsidRPr="00AF3AC0" w:rsidRDefault="002F13C7" w:rsidP="00AF3AC0">
      <w:pPr>
        <w:pStyle w:val="Akapitzlist"/>
        <w:numPr>
          <w:ilvl w:val="0"/>
          <w:numId w:val="17"/>
        </w:numPr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</w:t>
      </w:r>
      <w:r w:rsidR="0009200A" w:rsidRPr="00AF3AC0">
        <w:rPr>
          <w:rFonts w:ascii="Arial" w:hAnsi="Arial" w:cs="Arial"/>
          <w:szCs w:val="24"/>
        </w:rPr>
        <w:t xml:space="preserve">eżeli </w:t>
      </w:r>
      <w:r w:rsidR="00437632" w:rsidRPr="00AF3AC0">
        <w:rPr>
          <w:rFonts w:ascii="Arial" w:hAnsi="Arial" w:cs="Arial"/>
          <w:szCs w:val="24"/>
        </w:rPr>
        <w:t>orzeczono karę pozbawienia wolności w wymiarz</w:t>
      </w:r>
      <w:r w:rsidR="009D14ED" w:rsidRPr="00AF3AC0">
        <w:rPr>
          <w:rFonts w:ascii="Arial" w:hAnsi="Arial" w:cs="Arial"/>
          <w:szCs w:val="24"/>
        </w:rPr>
        <w:t>e nieprzekraczającym dwóch lat;</w:t>
      </w:r>
    </w:p>
    <w:p w:rsidR="00437632" w:rsidRPr="00447A30" w:rsidRDefault="00437632" w:rsidP="00AF3AC0">
      <w:pPr>
        <w:pStyle w:val="Akapitzlist"/>
        <w:numPr>
          <w:ilvl w:val="0"/>
          <w:numId w:val="17"/>
        </w:numPr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jeżeli sprawca w czasie popełnienia przestępstwa nie był skazany na karę pozbawienia wolności;</w:t>
      </w:r>
    </w:p>
    <w:p w:rsidR="0009200A" w:rsidRPr="00AF3AC0" w:rsidRDefault="00437632" w:rsidP="00AF3AC0">
      <w:pPr>
        <w:pStyle w:val="Akapitzlist"/>
        <w:numPr>
          <w:ilvl w:val="0"/>
          <w:numId w:val="17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jeżeli sprawca w czasie popełnienia przestępstwa był osobą niekaraną.</w:t>
      </w:r>
    </w:p>
    <w:p w:rsidR="0009200A" w:rsidRDefault="0009200A" w:rsidP="00AF3AC0">
      <w:pPr>
        <w:pStyle w:val="Akapitzlist"/>
        <w:spacing w:after="200" w:line="276" w:lineRule="auto"/>
        <w:ind w:left="1080"/>
        <w:rPr>
          <w:rFonts w:ascii="Arial" w:hAnsi="Arial" w:cs="Arial"/>
          <w:szCs w:val="24"/>
        </w:rPr>
      </w:pPr>
    </w:p>
    <w:p w:rsidR="00024772" w:rsidRDefault="00024772" w:rsidP="00AF3AC0">
      <w:pPr>
        <w:pStyle w:val="Akapitzlist"/>
        <w:spacing w:after="200" w:line="276" w:lineRule="auto"/>
        <w:ind w:left="1080"/>
        <w:rPr>
          <w:rFonts w:ascii="Arial" w:hAnsi="Arial" w:cs="Arial"/>
          <w:szCs w:val="24"/>
        </w:rPr>
      </w:pPr>
    </w:p>
    <w:p w:rsidR="00024772" w:rsidRDefault="00024772" w:rsidP="00AF3AC0">
      <w:pPr>
        <w:pStyle w:val="Akapitzlist"/>
        <w:spacing w:after="200" w:line="276" w:lineRule="auto"/>
        <w:ind w:left="1080"/>
        <w:rPr>
          <w:rFonts w:ascii="Arial" w:hAnsi="Arial" w:cs="Arial"/>
          <w:szCs w:val="24"/>
        </w:rPr>
      </w:pPr>
    </w:p>
    <w:p w:rsidR="00024772" w:rsidRDefault="00024772" w:rsidP="00AF3AC0">
      <w:pPr>
        <w:pStyle w:val="Akapitzlist"/>
        <w:spacing w:after="200" w:line="276" w:lineRule="auto"/>
        <w:ind w:left="1080"/>
        <w:rPr>
          <w:rFonts w:ascii="Arial" w:hAnsi="Arial" w:cs="Arial"/>
          <w:szCs w:val="24"/>
        </w:rPr>
      </w:pPr>
    </w:p>
    <w:p w:rsidR="00024772" w:rsidRPr="00AF3AC0" w:rsidRDefault="00024772" w:rsidP="00AF3AC0">
      <w:pPr>
        <w:pStyle w:val="Akapitzlist"/>
        <w:spacing w:after="20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Usiłowanie popełnienia przestępstwa jest:</w:t>
      </w:r>
    </w:p>
    <w:p w:rsidR="00437632" w:rsidRPr="00447A30" w:rsidRDefault="009D14ED" w:rsidP="00AF3AC0">
      <w:pPr>
        <w:pStyle w:val="Akapitzlist"/>
        <w:numPr>
          <w:ilvl w:val="0"/>
          <w:numId w:val="16"/>
        </w:numPr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zawsze karane;</w:t>
      </w:r>
    </w:p>
    <w:p w:rsidR="00437632" w:rsidRPr="00AF3AC0" w:rsidRDefault="00437632" w:rsidP="00AF3AC0">
      <w:pPr>
        <w:pStyle w:val="Akapitzlist"/>
        <w:numPr>
          <w:ilvl w:val="0"/>
          <w:numId w:val="16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karane jedynie wówcz</w:t>
      </w:r>
      <w:r w:rsidR="009D14ED" w:rsidRPr="00AF3AC0">
        <w:rPr>
          <w:rFonts w:ascii="Arial" w:hAnsi="Arial" w:cs="Arial"/>
          <w:szCs w:val="24"/>
        </w:rPr>
        <w:t>as gdy ustawa karna tak stanowi;</w:t>
      </w:r>
    </w:p>
    <w:p w:rsidR="00437632" w:rsidRPr="00AF3AC0" w:rsidRDefault="00437632" w:rsidP="00AF3AC0">
      <w:pPr>
        <w:pStyle w:val="Akapitzlist"/>
        <w:numPr>
          <w:ilvl w:val="0"/>
          <w:numId w:val="16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karalność usiłowania jest uzależniona od tego czy sprawca przed podjęciem działań zmierzających do popełnienia przestępstwa był wcześniej karany za przestępstwo.</w:t>
      </w:r>
    </w:p>
    <w:p w:rsidR="00437632" w:rsidRPr="00AF3AC0" w:rsidRDefault="00437632" w:rsidP="00AF3AC0">
      <w:pPr>
        <w:pStyle w:val="Akapitzlist"/>
        <w:spacing w:after="20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W postępowaniu karnym oskarżony może korzystać z pomocy obrońcy. Czy przepisy kodeksu postepowania karnego ograniczają ilość obrońców, która w jednym czasie może bronić oskarżonego?</w:t>
      </w:r>
    </w:p>
    <w:p w:rsidR="00437632" w:rsidRPr="00AF3AC0" w:rsidRDefault="00437632" w:rsidP="00AF3AC0">
      <w:pPr>
        <w:pStyle w:val="Akapitzlist"/>
        <w:numPr>
          <w:ilvl w:val="0"/>
          <w:numId w:val="14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lastRenderedPageBreak/>
        <w:t>tak, oskarżony w postępowaniu karnym jednocz</w:t>
      </w:r>
      <w:r w:rsidR="0009200A" w:rsidRPr="00AF3AC0">
        <w:rPr>
          <w:rFonts w:ascii="Arial" w:hAnsi="Arial" w:cs="Arial"/>
          <w:szCs w:val="24"/>
        </w:rPr>
        <w:t>eśnie może korzystać</w:t>
      </w:r>
      <w:r w:rsidR="0009200A" w:rsidRPr="00AF3AC0">
        <w:rPr>
          <w:rFonts w:ascii="Arial" w:hAnsi="Arial" w:cs="Arial"/>
          <w:szCs w:val="24"/>
        </w:rPr>
        <w:br/>
      </w:r>
      <w:r w:rsidRPr="00AF3AC0">
        <w:rPr>
          <w:rFonts w:ascii="Arial" w:hAnsi="Arial" w:cs="Arial"/>
          <w:szCs w:val="24"/>
        </w:rPr>
        <w:t>z pomocy tylko jednego obrońcy;</w:t>
      </w:r>
    </w:p>
    <w:p w:rsidR="00437632" w:rsidRPr="00447A30" w:rsidRDefault="00437632" w:rsidP="00AF3AC0">
      <w:pPr>
        <w:pStyle w:val="Akapitzlist"/>
        <w:numPr>
          <w:ilvl w:val="0"/>
          <w:numId w:val="14"/>
        </w:numPr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tak, oskarżony w postępowaniu kar</w:t>
      </w:r>
      <w:r w:rsidR="0009200A" w:rsidRPr="00447A30">
        <w:rPr>
          <w:rFonts w:ascii="Arial" w:hAnsi="Arial" w:cs="Arial"/>
          <w:b/>
          <w:szCs w:val="24"/>
        </w:rPr>
        <w:t>nym jednocześnie może korzystać</w:t>
      </w:r>
      <w:r w:rsidR="0009200A" w:rsidRPr="00447A30">
        <w:rPr>
          <w:rFonts w:ascii="Arial" w:hAnsi="Arial" w:cs="Arial"/>
          <w:b/>
          <w:szCs w:val="24"/>
        </w:rPr>
        <w:br/>
      </w:r>
      <w:r w:rsidRPr="00447A30">
        <w:rPr>
          <w:rFonts w:ascii="Arial" w:hAnsi="Arial" w:cs="Arial"/>
          <w:b/>
          <w:szCs w:val="24"/>
        </w:rPr>
        <w:t>z pomocy tylko trzech  obrońców;</w:t>
      </w:r>
    </w:p>
    <w:p w:rsidR="009D14ED" w:rsidRPr="00AF3AC0" w:rsidRDefault="00437632" w:rsidP="00AF3AC0">
      <w:pPr>
        <w:pStyle w:val="Akapitzlist"/>
        <w:numPr>
          <w:ilvl w:val="0"/>
          <w:numId w:val="14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nie, ilość obrońców z wyboru jaka może bronić oskarżonego w danym momencie nie jest w żaden sposób reglamentowania przez prawo.</w:t>
      </w:r>
    </w:p>
    <w:p w:rsidR="0009200A" w:rsidRPr="00AF3AC0" w:rsidRDefault="0009200A" w:rsidP="00AF3AC0">
      <w:pPr>
        <w:pStyle w:val="Akapitzlist"/>
        <w:spacing w:after="200" w:line="276" w:lineRule="auto"/>
        <w:ind w:left="1080"/>
        <w:rPr>
          <w:rFonts w:ascii="Arial" w:hAnsi="Arial" w:cs="Arial"/>
          <w:szCs w:val="24"/>
        </w:rPr>
      </w:pPr>
    </w:p>
    <w:p w:rsidR="00437632" w:rsidRPr="00AF3AC0" w:rsidRDefault="00437632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Pomocnictwo do popełnienia przestępstwa jest:</w:t>
      </w:r>
    </w:p>
    <w:p w:rsidR="0009200A" w:rsidRPr="00AF3AC0" w:rsidRDefault="00CC765F" w:rsidP="00AF3AC0">
      <w:pPr>
        <w:pStyle w:val="Akapitzlist"/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 xml:space="preserve">a)  </w:t>
      </w:r>
      <w:r w:rsidR="0009200A" w:rsidRPr="00AF3AC0">
        <w:rPr>
          <w:rFonts w:ascii="Arial" w:hAnsi="Arial" w:cs="Arial"/>
          <w:szCs w:val="24"/>
        </w:rPr>
        <w:t>karane jedynie wówczas gdy ustawa karna tak stanowi;</w:t>
      </w:r>
    </w:p>
    <w:p w:rsidR="0009200A" w:rsidRPr="00447A30" w:rsidRDefault="00CC765F" w:rsidP="00AF3AC0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 xml:space="preserve">b)  </w:t>
      </w:r>
      <w:r w:rsidR="0009200A" w:rsidRPr="00447A30">
        <w:rPr>
          <w:rFonts w:ascii="Arial" w:hAnsi="Arial" w:cs="Arial"/>
          <w:b/>
          <w:szCs w:val="24"/>
        </w:rPr>
        <w:t>zawsze karane;</w:t>
      </w:r>
    </w:p>
    <w:p w:rsidR="00280276" w:rsidRDefault="00CC765F" w:rsidP="00AF3AC0">
      <w:pPr>
        <w:pStyle w:val="Akapitzlist"/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 xml:space="preserve">c) </w:t>
      </w:r>
      <w:r w:rsidR="0009200A" w:rsidRPr="00AF3AC0">
        <w:rPr>
          <w:rFonts w:ascii="Arial" w:hAnsi="Arial" w:cs="Arial"/>
          <w:szCs w:val="24"/>
        </w:rPr>
        <w:t xml:space="preserve">karalność pomocnictwa jest uzależniona od tego czy sprawca przed </w:t>
      </w:r>
    </w:p>
    <w:p w:rsidR="00280276" w:rsidRDefault="00280276" w:rsidP="00AF3AC0">
      <w:pPr>
        <w:pStyle w:val="Akapitzlist"/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09200A" w:rsidRPr="00AF3AC0">
        <w:rPr>
          <w:rFonts w:ascii="Arial" w:hAnsi="Arial" w:cs="Arial"/>
          <w:szCs w:val="24"/>
        </w:rPr>
        <w:t xml:space="preserve">podjęciem działań zmierzających do ułatwienia popełnienia przestępstwa był </w:t>
      </w:r>
    </w:p>
    <w:p w:rsidR="0009200A" w:rsidRPr="00AF3AC0" w:rsidRDefault="00280276" w:rsidP="00AF3AC0">
      <w:pPr>
        <w:pStyle w:val="Akapitzlist"/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09200A" w:rsidRPr="00AF3AC0">
        <w:rPr>
          <w:rFonts w:ascii="Arial" w:hAnsi="Arial" w:cs="Arial"/>
          <w:szCs w:val="24"/>
        </w:rPr>
        <w:t>karany za przestępstwo.</w:t>
      </w:r>
    </w:p>
    <w:p w:rsidR="0009200A" w:rsidRPr="00AF3AC0" w:rsidRDefault="0009200A" w:rsidP="00AF3AC0">
      <w:pPr>
        <w:pStyle w:val="Akapitzlist"/>
        <w:spacing w:after="200" w:line="276" w:lineRule="auto"/>
        <w:rPr>
          <w:rFonts w:ascii="Arial" w:hAnsi="Arial" w:cs="Arial"/>
          <w:szCs w:val="24"/>
        </w:rPr>
      </w:pPr>
    </w:p>
    <w:p w:rsidR="00CC765F" w:rsidRPr="00AF3AC0" w:rsidRDefault="00CC765F" w:rsidP="00AF3AC0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bCs/>
          <w:szCs w:val="24"/>
        </w:rPr>
        <w:t xml:space="preserve">Według Kodeksu cywilnego </w:t>
      </w:r>
      <w:r w:rsidRPr="00AF3AC0">
        <w:rPr>
          <w:rFonts w:ascii="Arial" w:hAnsi="Arial" w:cs="Arial"/>
          <w:b/>
          <w:szCs w:val="24"/>
        </w:rPr>
        <w:t>ograniczonym prawem rzeczowym uregulowanym odrębnymi przepisami jest:</w:t>
      </w:r>
    </w:p>
    <w:p w:rsidR="00CC765F" w:rsidRPr="00AF3AC0" w:rsidRDefault="00CC765F" w:rsidP="00AF3AC0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 w:rsidRPr="00AF3AC0">
        <w:rPr>
          <w:rFonts w:ascii="Arial" w:hAnsi="Arial" w:cs="Arial"/>
          <w:szCs w:val="24"/>
        </w:rPr>
        <w:t>a) służebność;</w:t>
      </w:r>
    </w:p>
    <w:p w:rsidR="00CC765F" w:rsidRPr="00447A30" w:rsidRDefault="00CC765F" w:rsidP="00AF3AC0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b) hipoteka;</w:t>
      </w:r>
    </w:p>
    <w:p w:rsidR="00CC765F" w:rsidRPr="00AF3AC0" w:rsidRDefault="00CC765F" w:rsidP="00AF3AC0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c) użytkowanie.</w:t>
      </w:r>
    </w:p>
    <w:p w:rsidR="00AF3AC0" w:rsidRPr="00AF3AC0" w:rsidRDefault="00AF3AC0" w:rsidP="00AF3AC0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</w:p>
    <w:p w:rsidR="00CC765F" w:rsidRPr="00AF3AC0" w:rsidRDefault="00CC765F" w:rsidP="00AF3A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b/>
          <w:bCs/>
          <w:szCs w:val="24"/>
        </w:rPr>
        <w:t xml:space="preserve">Według Kodeksu cywilnego:  </w:t>
      </w:r>
      <w:r w:rsidRPr="00AF3AC0">
        <w:rPr>
          <w:rFonts w:ascii="Arial" w:eastAsia="Times New Roman" w:hAnsi="Arial" w:cs="Arial"/>
          <w:b/>
          <w:szCs w:val="24"/>
          <w:lang w:eastAsia="pl-PL"/>
        </w:rPr>
        <w:t>wysokość odsetek ustawowych za opóźnienie ogłasza:</w:t>
      </w:r>
    </w:p>
    <w:p w:rsidR="00280276" w:rsidRDefault="00CC765F" w:rsidP="00AF3AC0">
      <w:pPr>
        <w:spacing w:line="276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F3AC0">
        <w:rPr>
          <w:rFonts w:ascii="Arial" w:eastAsia="Times New Roman" w:hAnsi="Arial" w:cs="Arial"/>
          <w:szCs w:val="24"/>
          <w:lang w:eastAsia="pl-PL"/>
        </w:rPr>
        <w:t xml:space="preserve">a) Prezes Narodowego Banku Polskiego, w drodze obwieszczenia, w Dzienniku </w:t>
      </w:r>
    </w:p>
    <w:p w:rsidR="00CC765F" w:rsidRPr="00AF3AC0" w:rsidRDefault="00280276" w:rsidP="00AF3AC0">
      <w:pPr>
        <w:spacing w:line="276" w:lineRule="auto"/>
        <w:ind w:left="720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    </w:t>
      </w:r>
      <w:r w:rsidR="00CC765F" w:rsidRPr="00AF3AC0">
        <w:rPr>
          <w:rFonts w:ascii="Arial" w:eastAsia="Times New Roman" w:hAnsi="Arial" w:cs="Arial"/>
          <w:szCs w:val="24"/>
          <w:lang w:eastAsia="pl-PL"/>
        </w:rPr>
        <w:t>Urzędowym Rzeczypospol</w:t>
      </w:r>
      <w:r w:rsidR="0010664B">
        <w:rPr>
          <w:rFonts w:ascii="Arial" w:eastAsia="Times New Roman" w:hAnsi="Arial" w:cs="Arial"/>
          <w:szCs w:val="24"/>
          <w:lang w:eastAsia="pl-PL"/>
        </w:rPr>
        <w:t>itej Polskiej "Monitor Polski'';</w:t>
      </w:r>
    </w:p>
    <w:p w:rsidR="00280276" w:rsidRDefault="00CC765F" w:rsidP="00AF3AC0">
      <w:pPr>
        <w:pStyle w:val="Akapitzlist"/>
        <w:spacing w:line="276" w:lineRule="auto"/>
        <w:rPr>
          <w:rFonts w:ascii="Arial" w:eastAsia="Times New Roman" w:hAnsi="Arial" w:cs="Arial"/>
          <w:szCs w:val="24"/>
          <w:lang w:eastAsia="pl-PL"/>
        </w:rPr>
      </w:pPr>
      <w:r w:rsidRPr="00AF3AC0">
        <w:rPr>
          <w:rFonts w:ascii="Arial" w:eastAsia="Times New Roman" w:hAnsi="Arial" w:cs="Arial"/>
          <w:szCs w:val="24"/>
          <w:lang w:eastAsia="pl-PL"/>
        </w:rPr>
        <w:t xml:space="preserve">b)  Minister Finansów, w drodze obwieszczenia, w Dzienniku Urzędowym </w:t>
      </w:r>
      <w:r w:rsidR="00280276">
        <w:rPr>
          <w:rFonts w:ascii="Arial" w:eastAsia="Times New Roman" w:hAnsi="Arial" w:cs="Arial"/>
          <w:szCs w:val="24"/>
          <w:lang w:eastAsia="pl-PL"/>
        </w:rPr>
        <w:t xml:space="preserve">   </w:t>
      </w:r>
    </w:p>
    <w:p w:rsidR="00CC765F" w:rsidRPr="00AF3AC0" w:rsidRDefault="00280276" w:rsidP="00AF3AC0">
      <w:pPr>
        <w:pStyle w:val="Akapitzlist"/>
        <w:spacing w:line="276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     </w:t>
      </w:r>
      <w:r w:rsidR="00CC765F" w:rsidRPr="00AF3AC0">
        <w:rPr>
          <w:rFonts w:ascii="Arial" w:eastAsia="Times New Roman" w:hAnsi="Arial" w:cs="Arial"/>
          <w:szCs w:val="24"/>
          <w:lang w:eastAsia="pl-PL"/>
        </w:rPr>
        <w:t xml:space="preserve">Rzeczypospolitej </w:t>
      </w:r>
      <w:r w:rsidR="0010664B">
        <w:rPr>
          <w:rFonts w:ascii="Arial" w:eastAsia="Times New Roman" w:hAnsi="Arial" w:cs="Arial"/>
          <w:szCs w:val="24"/>
          <w:lang w:eastAsia="pl-PL"/>
        </w:rPr>
        <w:t>Polskiej "Monitor Polski'';</w:t>
      </w:r>
    </w:p>
    <w:p w:rsidR="00280276" w:rsidRDefault="00280276" w:rsidP="00AF3AC0">
      <w:pPr>
        <w:pStyle w:val="Akapitzlist"/>
        <w:spacing w:line="276" w:lineRule="auto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c) </w:t>
      </w:r>
      <w:r w:rsidR="00CC765F" w:rsidRPr="00447A30">
        <w:rPr>
          <w:rFonts w:ascii="Arial" w:eastAsia="Times New Roman" w:hAnsi="Arial" w:cs="Arial"/>
          <w:b/>
          <w:szCs w:val="24"/>
          <w:lang w:eastAsia="pl-PL"/>
        </w:rPr>
        <w:t xml:space="preserve">Minister Sprawiedliwości w drodze obwieszczenia, w Dzienniku </w:t>
      </w:r>
    </w:p>
    <w:p w:rsidR="00CC765F" w:rsidRPr="00447A30" w:rsidRDefault="00280276" w:rsidP="00AF3AC0">
      <w:pPr>
        <w:pStyle w:val="Akapitzlist"/>
        <w:spacing w:line="276" w:lineRule="auto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CC765F" w:rsidRPr="00447A30">
        <w:rPr>
          <w:rFonts w:ascii="Arial" w:eastAsia="Times New Roman" w:hAnsi="Arial" w:cs="Arial"/>
          <w:b/>
          <w:szCs w:val="24"/>
          <w:lang w:eastAsia="pl-PL"/>
        </w:rPr>
        <w:t>Urzędowym Rzeczypospolitej Polskiej "Monitor Polski''.</w:t>
      </w:r>
    </w:p>
    <w:p w:rsidR="009F4190" w:rsidRPr="00AF3AC0" w:rsidRDefault="009F4190" w:rsidP="00AF3AC0">
      <w:pPr>
        <w:pStyle w:val="Akapitzlist"/>
        <w:spacing w:line="276" w:lineRule="auto"/>
        <w:rPr>
          <w:rFonts w:ascii="Arial" w:eastAsia="Times New Roman" w:hAnsi="Arial" w:cs="Arial"/>
          <w:szCs w:val="24"/>
          <w:lang w:eastAsia="pl-PL"/>
        </w:rPr>
      </w:pPr>
    </w:p>
    <w:p w:rsidR="009F4190" w:rsidRPr="00AF3AC0" w:rsidRDefault="009F4190" w:rsidP="00AF3AC0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szCs w:val="24"/>
          <w:lang w:eastAsia="pl-PL"/>
        </w:rPr>
      </w:pPr>
      <w:r w:rsidRPr="00AF3AC0">
        <w:rPr>
          <w:rFonts w:ascii="Arial" w:hAnsi="Arial" w:cs="Arial"/>
          <w:b/>
          <w:bCs/>
          <w:szCs w:val="24"/>
        </w:rPr>
        <w:t>Według Kodeksu cywilnego, osoba fizyczna, która nie ukończyła lat trzynastu:</w:t>
      </w:r>
    </w:p>
    <w:p w:rsidR="009F4190" w:rsidRPr="00447A30" w:rsidRDefault="009F4190" w:rsidP="00AF3AC0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a) nie ma zdolności do czynnoś</w:t>
      </w:r>
      <w:r w:rsidR="0010664B">
        <w:rPr>
          <w:rFonts w:ascii="Arial" w:hAnsi="Arial" w:cs="Arial"/>
          <w:b/>
          <w:szCs w:val="24"/>
        </w:rPr>
        <w:t>ci prawnych;</w:t>
      </w:r>
    </w:p>
    <w:p w:rsidR="009F4190" w:rsidRPr="00AF3AC0" w:rsidRDefault="009F4190" w:rsidP="00AF3AC0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b) ma ograniczoną</w:t>
      </w:r>
      <w:r w:rsidR="0010664B">
        <w:rPr>
          <w:rFonts w:ascii="Arial" w:hAnsi="Arial" w:cs="Arial"/>
          <w:szCs w:val="24"/>
        </w:rPr>
        <w:t xml:space="preserve"> zdolność do czynności prawnych;</w:t>
      </w:r>
    </w:p>
    <w:p w:rsidR="009F4190" w:rsidRPr="00AF3AC0" w:rsidRDefault="009F4190" w:rsidP="00AF3AC0">
      <w:pPr>
        <w:pStyle w:val="Akapitzlist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c) ma pełną zdolność do czynności prawnych.</w:t>
      </w:r>
    </w:p>
    <w:p w:rsidR="009F4190" w:rsidRDefault="009F4190" w:rsidP="00AF3AC0">
      <w:pPr>
        <w:pStyle w:val="Akapitzlist"/>
        <w:spacing w:line="276" w:lineRule="auto"/>
        <w:rPr>
          <w:rFonts w:ascii="Arial" w:hAnsi="Arial" w:cs="Arial"/>
          <w:szCs w:val="24"/>
        </w:rPr>
      </w:pPr>
    </w:p>
    <w:p w:rsidR="00447A30" w:rsidRDefault="00447A30" w:rsidP="00AF3AC0">
      <w:pPr>
        <w:pStyle w:val="Akapitzlist"/>
        <w:spacing w:line="276" w:lineRule="auto"/>
        <w:rPr>
          <w:rFonts w:ascii="Arial" w:hAnsi="Arial" w:cs="Arial"/>
          <w:szCs w:val="24"/>
        </w:rPr>
      </w:pPr>
    </w:p>
    <w:p w:rsidR="00447A30" w:rsidRPr="00AF3AC0" w:rsidRDefault="00447A30" w:rsidP="00AF3AC0">
      <w:pPr>
        <w:pStyle w:val="Akapitzlist"/>
        <w:spacing w:line="276" w:lineRule="auto"/>
        <w:rPr>
          <w:rFonts w:ascii="Arial" w:hAnsi="Arial" w:cs="Arial"/>
          <w:szCs w:val="24"/>
        </w:rPr>
      </w:pPr>
    </w:p>
    <w:p w:rsidR="009F4190" w:rsidRPr="00AF3AC0" w:rsidRDefault="009F4190" w:rsidP="00AF3AC0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b/>
          <w:szCs w:val="24"/>
          <w:lang w:eastAsia="pl-PL"/>
        </w:rPr>
      </w:pPr>
      <w:r w:rsidRPr="00AF3AC0">
        <w:rPr>
          <w:rFonts w:ascii="Arial" w:hAnsi="Arial" w:cs="Arial"/>
          <w:b/>
          <w:bCs/>
          <w:szCs w:val="24"/>
        </w:rPr>
        <w:t xml:space="preserve">Według Kodeksu cywilnego:  </w:t>
      </w:r>
      <w:r w:rsidRPr="00AF3AC0">
        <w:rPr>
          <w:rFonts w:ascii="Arial" w:eastAsia="Times New Roman" w:hAnsi="Arial" w:cs="Arial"/>
          <w:b/>
          <w:szCs w:val="24"/>
          <w:lang w:eastAsia="pl-PL"/>
        </w:rPr>
        <w:t>oddanie gruntu  w użytkowanie wieczyste następuje na  okres :</w:t>
      </w:r>
    </w:p>
    <w:p w:rsidR="009F4190" w:rsidRPr="00AF3AC0" w:rsidRDefault="009F4190" w:rsidP="00AF3AC0">
      <w:pPr>
        <w:pStyle w:val="Akapitzlist"/>
        <w:numPr>
          <w:ilvl w:val="0"/>
          <w:numId w:val="20"/>
        </w:numPr>
        <w:spacing w:line="276" w:lineRule="auto"/>
        <w:rPr>
          <w:rFonts w:ascii="Arial" w:eastAsia="Times New Roman" w:hAnsi="Arial" w:cs="Arial"/>
          <w:b/>
          <w:szCs w:val="24"/>
          <w:lang w:eastAsia="pl-PL"/>
        </w:rPr>
      </w:pPr>
      <w:r w:rsidRPr="00AF3AC0">
        <w:rPr>
          <w:rFonts w:ascii="Arial" w:eastAsia="Times New Roman" w:hAnsi="Arial" w:cs="Arial"/>
          <w:szCs w:val="24"/>
          <w:lang w:eastAsia="pl-PL"/>
        </w:rPr>
        <w:t xml:space="preserve">99 lat, a w wypadkach wyjątkowych na okres krótszy, co </w:t>
      </w:r>
      <w:r w:rsidR="0010664B">
        <w:rPr>
          <w:rFonts w:ascii="Arial" w:eastAsia="Times New Roman" w:hAnsi="Arial" w:cs="Arial"/>
          <w:szCs w:val="24"/>
          <w:lang w:eastAsia="pl-PL"/>
        </w:rPr>
        <w:t>najmniej jednak na lat 30;</w:t>
      </w:r>
    </w:p>
    <w:p w:rsidR="009F4190" w:rsidRPr="00AF3AC0" w:rsidRDefault="00E63822" w:rsidP="00AF3AC0">
      <w:pPr>
        <w:pStyle w:val="Akapitzlist"/>
        <w:numPr>
          <w:ilvl w:val="0"/>
          <w:numId w:val="20"/>
        </w:numPr>
        <w:spacing w:line="276" w:lineRule="auto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89 lat</w:t>
      </w:r>
      <w:r w:rsidR="009F4190" w:rsidRPr="00AF3AC0">
        <w:rPr>
          <w:rFonts w:ascii="Arial" w:eastAsia="Times New Roman" w:hAnsi="Arial" w:cs="Arial"/>
          <w:szCs w:val="24"/>
          <w:lang w:eastAsia="pl-PL"/>
        </w:rPr>
        <w:t>, a w wypadkach wyjątkowych na okres krót</w:t>
      </w:r>
      <w:r w:rsidR="0010664B">
        <w:rPr>
          <w:rFonts w:ascii="Arial" w:eastAsia="Times New Roman" w:hAnsi="Arial" w:cs="Arial"/>
          <w:szCs w:val="24"/>
          <w:lang w:eastAsia="pl-PL"/>
        </w:rPr>
        <w:t>szy, co najmniej jednak na lat 40;</w:t>
      </w:r>
    </w:p>
    <w:p w:rsidR="0009200A" w:rsidRPr="00447A30" w:rsidRDefault="0010664B" w:rsidP="00AF3AC0">
      <w:pPr>
        <w:pStyle w:val="Akapitzlist"/>
        <w:numPr>
          <w:ilvl w:val="0"/>
          <w:numId w:val="20"/>
        </w:numPr>
        <w:spacing w:line="276" w:lineRule="auto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99 </w:t>
      </w:r>
      <w:r w:rsidR="00E63822">
        <w:rPr>
          <w:rFonts w:ascii="Arial" w:eastAsia="Times New Roman" w:hAnsi="Arial" w:cs="Arial"/>
          <w:b/>
          <w:szCs w:val="24"/>
          <w:lang w:eastAsia="pl-PL"/>
        </w:rPr>
        <w:t>lat</w:t>
      </w:r>
      <w:r w:rsidR="009F4190" w:rsidRPr="00447A30">
        <w:rPr>
          <w:rFonts w:ascii="Arial" w:eastAsia="Times New Roman" w:hAnsi="Arial" w:cs="Arial"/>
          <w:b/>
          <w:szCs w:val="24"/>
          <w:lang w:eastAsia="pl-PL"/>
        </w:rPr>
        <w:t>, a w wypadkach wyjątkowych na okres krót</w:t>
      </w:r>
      <w:r>
        <w:rPr>
          <w:rFonts w:ascii="Arial" w:eastAsia="Times New Roman" w:hAnsi="Arial" w:cs="Arial"/>
          <w:b/>
          <w:szCs w:val="24"/>
          <w:lang w:eastAsia="pl-PL"/>
        </w:rPr>
        <w:t>szy, co najmniej jednak na lat 40.</w:t>
      </w:r>
    </w:p>
    <w:p w:rsidR="009F4190" w:rsidRPr="00AF3AC0" w:rsidRDefault="009F4190" w:rsidP="00AF3AC0">
      <w:pPr>
        <w:pStyle w:val="Akapitzlist"/>
        <w:spacing w:line="276" w:lineRule="auto"/>
        <w:ind w:left="1080"/>
        <w:rPr>
          <w:rFonts w:ascii="Arial" w:eastAsia="Times New Roman" w:hAnsi="Arial" w:cs="Arial"/>
          <w:b/>
          <w:szCs w:val="24"/>
          <w:lang w:eastAsia="pl-PL"/>
        </w:rPr>
      </w:pPr>
    </w:p>
    <w:p w:rsidR="009F4190" w:rsidRPr="00AF3AC0" w:rsidRDefault="009F4190" w:rsidP="00AF3AC0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szCs w:val="24"/>
          <w:lang w:eastAsia="pl-PL"/>
        </w:rPr>
      </w:pPr>
      <w:r w:rsidRPr="00AF3AC0">
        <w:rPr>
          <w:rFonts w:ascii="Arial" w:hAnsi="Arial" w:cs="Arial"/>
          <w:b/>
          <w:szCs w:val="24"/>
        </w:rPr>
        <w:lastRenderedPageBreak/>
        <w:t xml:space="preserve">Zgodnie z Kodeksem cywilnym, zobowiązanie jest solidarne: </w:t>
      </w:r>
    </w:p>
    <w:p w:rsidR="009F4190" w:rsidRPr="00447A30" w:rsidRDefault="009F4190" w:rsidP="00AF3AC0">
      <w:pPr>
        <w:pStyle w:val="Akapitzlist"/>
        <w:numPr>
          <w:ilvl w:val="0"/>
          <w:numId w:val="22"/>
        </w:numPr>
        <w:spacing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jeżeli to wynika z</w:t>
      </w:r>
      <w:r w:rsidR="0010664B">
        <w:rPr>
          <w:rFonts w:ascii="Arial" w:hAnsi="Arial" w:cs="Arial"/>
          <w:b/>
          <w:szCs w:val="24"/>
        </w:rPr>
        <w:t xml:space="preserve"> ustawy lub z czynności prawnej;</w:t>
      </w:r>
    </w:p>
    <w:p w:rsidR="009F4190" w:rsidRPr="00AF3AC0" w:rsidRDefault="009F4190" w:rsidP="00AF3AC0">
      <w:pPr>
        <w:pStyle w:val="Akapitzlist"/>
        <w:numPr>
          <w:ilvl w:val="0"/>
          <w:numId w:val="22"/>
        </w:numPr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tylko wówczas, gdy</w:t>
      </w:r>
      <w:r w:rsidR="0010664B">
        <w:rPr>
          <w:rFonts w:ascii="Arial" w:hAnsi="Arial" w:cs="Arial"/>
          <w:szCs w:val="24"/>
        </w:rPr>
        <w:t xml:space="preserve"> przepis szczególny tak stanowi;</w:t>
      </w:r>
    </w:p>
    <w:p w:rsidR="009F4190" w:rsidRPr="00AF3AC0" w:rsidRDefault="009F4190" w:rsidP="00AF3AC0">
      <w:pPr>
        <w:pStyle w:val="Akapitzlist"/>
        <w:numPr>
          <w:ilvl w:val="0"/>
          <w:numId w:val="22"/>
        </w:numPr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tylko wówczas, gdy przepis szczególny na to zezwala, a strony w umowie wyraziły na to zgodę.</w:t>
      </w:r>
    </w:p>
    <w:p w:rsidR="00D82CF8" w:rsidRPr="00AF3AC0" w:rsidRDefault="00D82CF8" w:rsidP="00AF3AC0">
      <w:pPr>
        <w:pStyle w:val="Akapitzlist"/>
        <w:spacing w:line="276" w:lineRule="auto"/>
        <w:ind w:left="1080"/>
        <w:rPr>
          <w:rFonts w:ascii="Arial" w:hAnsi="Arial" w:cs="Arial"/>
          <w:szCs w:val="24"/>
        </w:rPr>
      </w:pPr>
    </w:p>
    <w:p w:rsidR="009F4190" w:rsidRPr="00AF3AC0" w:rsidRDefault="009F4190" w:rsidP="00AF3A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b/>
          <w:bCs/>
          <w:szCs w:val="24"/>
        </w:rPr>
        <w:t>Według Kodeksu cywilnego, spadkobierca nabywa spadek z chwilą:</w:t>
      </w:r>
    </w:p>
    <w:p w:rsidR="009F4190" w:rsidRPr="00AF3AC0" w:rsidRDefault="009F4190" w:rsidP="00AF3A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wydania przez sąd</w:t>
      </w:r>
      <w:r w:rsidR="0010664B">
        <w:rPr>
          <w:rFonts w:ascii="Arial" w:hAnsi="Arial" w:cs="Arial"/>
          <w:szCs w:val="24"/>
        </w:rPr>
        <w:t xml:space="preserve"> postanowienia o nabyciu spadku;</w:t>
      </w:r>
    </w:p>
    <w:p w:rsidR="009F4190" w:rsidRPr="00AF3AC0" w:rsidRDefault="009F4190" w:rsidP="00AF3A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uprawomocnienia się</w:t>
      </w:r>
      <w:r w:rsidR="0010664B">
        <w:rPr>
          <w:rFonts w:ascii="Arial" w:hAnsi="Arial" w:cs="Arial"/>
          <w:szCs w:val="24"/>
        </w:rPr>
        <w:t xml:space="preserve"> postanowienia o nabyciu spadku;</w:t>
      </w:r>
    </w:p>
    <w:p w:rsidR="009F4190" w:rsidRPr="00447A30" w:rsidRDefault="009F4190" w:rsidP="00AF3A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śmierci spadkodawcy (otwarcia spadku).</w:t>
      </w:r>
    </w:p>
    <w:p w:rsidR="00D82CF8" w:rsidRPr="00AF3AC0" w:rsidRDefault="00D82CF8" w:rsidP="00AF3AC0">
      <w:pPr>
        <w:pStyle w:val="Akapitzlist"/>
        <w:autoSpaceDE w:val="0"/>
        <w:autoSpaceDN w:val="0"/>
        <w:adjustRightInd w:val="0"/>
        <w:spacing w:line="276" w:lineRule="auto"/>
        <w:ind w:left="1080"/>
        <w:rPr>
          <w:rFonts w:ascii="Arial" w:hAnsi="Arial" w:cs="Arial"/>
          <w:szCs w:val="24"/>
        </w:rPr>
      </w:pPr>
    </w:p>
    <w:p w:rsidR="009F4190" w:rsidRPr="00AF3AC0" w:rsidRDefault="009F4190" w:rsidP="00AF3A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 w:rsidRPr="00AF3AC0">
        <w:rPr>
          <w:rFonts w:ascii="Arial" w:hAnsi="Arial" w:cs="Arial"/>
          <w:b/>
          <w:bCs/>
          <w:szCs w:val="24"/>
        </w:rPr>
        <w:t>Według Kodeksu cywilnego, przez uznanie roszczenia przez osobę, przeciwko której roszczenie przysługuje:</w:t>
      </w:r>
    </w:p>
    <w:p w:rsidR="009F4190" w:rsidRPr="00AF3AC0" w:rsidRDefault="009F4190" w:rsidP="00AF3AC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 xml:space="preserve">bieg </w:t>
      </w:r>
      <w:r w:rsidR="0010664B">
        <w:rPr>
          <w:rFonts w:ascii="Arial" w:hAnsi="Arial" w:cs="Arial"/>
          <w:szCs w:val="24"/>
        </w:rPr>
        <w:t>przedawnienia ulega zawieszeniu;</w:t>
      </w:r>
    </w:p>
    <w:p w:rsidR="009F4190" w:rsidRPr="00447A30" w:rsidRDefault="0010664B" w:rsidP="00AF3AC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bieg przedawnienia przerywa się;</w:t>
      </w:r>
    </w:p>
    <w:p w:rsidR="00AF3AC0" w:rsidRDefault="009F4190" w:rsidP="00965F6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przedawnienie biegnie w dalszym ciągu, gdyż uznanie roszczenia nie ma wpływu na bieg przedawnienia.</w:t>
      </w:r>
    </w:p>
    <w:p w:rsidR="00965F69" w:rsidRPr="00965F69" w:rsidRDefault="00965F69" w:rsidP="00965F69">
      <w:pPr>
        <w:pStyle w:val="Akapitzlist"/>
        <w:autoSpaceDE w:val="0"/>
        <w:autoSpaceDN w:val="0"/>
        <w:adjustRightInd w:val="0"/>
        <w:spacing w:line="276" w:lineRule="auto"/>
        <w:ind w:left="1080"/>
        <w:rPr>
          <w:rFonts w:ascii="Arial" w:hAnsi="Arial" w:cs="Arial"/>
          <w:szCs w:val="24"/>
        </w:rPr>
      </w:pPr>
    </w:p>
    <w:p w:rsidR="009F4190" w:rsidRPr="00AF3AC0" w:rsidRDefault="009F4190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bCs/>
          <w:szCs w:val="24"/>
        </w:rPr>
        <w:t>Według Kodeksu cywilnego, roszczenie o zniesienie współwłasności nieruchomości:</w:t>
      </w:r>
    </w:p>
    <w:p w:rsidR="009F4190" w:rsidRPr="00AF3AC0" w:rsidRDefault="009F4190" w:rsidP="00AF3AC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 xml:space="preserve">przedawnia się z upływem dwudziestu lat od nabycia udziału </w:t>
      </w:r>
      <w:r w:rsidR="00D802D3" w:rsidRPr="00AF3AC0">
        <w:rPr>
          <w:rFonts w:ascii="Arial" w:hAnsi="Arial" w:cs="Arial"/>
          <w:szCs w:val="24"/>
        </w:rPr>
        <w:br/>
      </w:r>
      <w:r w:rsidR="0010664B">
        <w:rPr>
          <w:rFonts w:ascii="Arial" w:hAnsi="Arial" w:cs="Arial"/>
          <w:szCs w:val="24"/>
        </w:rPr>
        <w:t>w nieruchomości;</w:t>
      </w:r>
    </w:p>
    <w:p w:rsidR="009F4190" w:rsidRPr="00AF3AC0" w:rsidRDefault="009F4190" w:rsidP="00AF3AC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 xml:space="preserve">przedawnia się z upływem czterdziestu lat od nabycia udziału </w:t>
      </w:r>
      <w:r w:rsidR="00D802D3" w:rsidRPr="00AF3AC0">
        <w:rPr>
          <w:rFonts w:ascii="Arial" w:hAnsi="Arial" w:cs="Arial"/>
          <w:szCs w:val="24"/>
        </w:rPr>
        <w:br/>
      </w:r>
      <w:r w:rsidR="0010664B">
        <w:rPr>
          <w:rFonts w:ascii="Arial" w:hAnsi="Arial" w:cs="Arial"/>
          <w:szCs w:val="24"/>
        </w:rPr>
        <w:t>w nieruchomości;</w:t>
      </w:r>
    </w:p>
    <w:p w:rsidR="009F4190" w:rsidRPr="00447A30" w:rsidRDefault="009F4190" w:rsidP="00AF3AC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w ogóle nie ulega przedawnieniu.</w:t>
      </w:r>
      <w:r w:rsidRPr="00447A30">
        <w:rPr>
          <w:rFonts w:ascii="Arial" w:hAnsi="Arial" w:cs="Arial"/>
          <w:b/>
          <w:szCs w:val="24"/>
        </w:rPr>
        <w:tab/>
      </w:r>
    </w:p>
    <w:p w:rsidR="009F4190" w:rsidRPr="00AF3AC0" w:rsidRDefault="009F4190" w:rsidP="00AF3AC0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</w:p>
    <w:p w:rsidR="00D82CF8" w:rsidRPr="00AF3AC0" w:rsidRDefault="00D82CF8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bCs/>
          <w:szCs w:val="24"/>
        </w:rPr>
        <w:t>Według Kodeksu cywilnego:</w:t>
      </w:r>
    </w:p>
    <w:p w:rsidR="00D82CF8" w:rsidRPr="00AF3AC0" w:rsidRDefault="00D82CF8" w:rsidP="00AF3AC0">
      <w:pPr>
        <w:pStyle w:val="Akapitzlist"/>
        <w:numPr>
          <w:ilvl w:val="0"/>
          <w:numId w:val="26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wierzyciel może przenieść wierzytelność na osobę trzecią (p</w:t>
      </w:r>
      <w:r w:rsidR="0010664B">
        <w:rPr>
          <w:rFonts w:ascii="Arial" w:hAnsi="Arial" w:cs="Arial"/>
          <w:szCs w:val="24"/>
        </w:rPr>
        <w:t>rzelew) tylko za zgodą dłużnika;</w:t>
      </w:r>
    </w:p>
    <w:p w:rsidR="00D82CF8" w:rsidRPr="00AF3AC0" w:rsidRDefault="00D82CF8" w:rsidP="00AF3AC0">
      <w:pPr>
        <w:pStyle w:val="Akapitzlist"/>
        <w:numPr>
          <w:ilvl w:val="0"/>
          <w:numId w:val="26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wierzyciel może przenieść wierzytelność na osobę trzecią (przelew) tylko za zgodą dłużnika, chyba że brak takiej zgody byłby sprzeczny z przepisem ustawy, zastrzeżeniem umownym</w:t>
      </w:r>
      <w:r w:rsidR="0010664B">
        <w:rPr>
          <w:rFonts w:ascii="Arial" w:hAnsi="Arial" w:cs="Arial"/>
          <w:szCs w:val="24"/>
        </w:rPr>
        <w:t xml:space="preserve"> albo właściwością zobowiązania;</w:t>
      </w:r>
    </w:p>
    <w:p w:rsidR="00D82CF8" w:rsidRPr="00447A30" w:rsidRDefault="00D82CF8" w:rsidP="00AF3AC0">
      <w:pPr>
        <w:pStyle w:val="Akapitzlist"/>
        <w:numPr>
          <w:ilvl w:val="0"/>
          <w:numId w:val="26"/>
        </w:numPr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wierzyciel może bez zgody dłużnika przenieść wierzytelność na osobę trzecią (przelew), chyba że sprzeciwiałoby się to ustawie, zastrzeżeniu umownemu albo właściwości zobowiązania.</w:t>
      </w:r>
    </w:p>
    <w:p w:rsidR="00D82CF8" w:rsidRPr="00AF3AC0" w:rsidRDefault="00D82CF8" w:rsidP="00AF3AC0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</w:p>
    <w:p w:rsidR="00D82CF8" w:rsidRPr="00AF3AC0" w:rsidRDefault="00D82CF8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postępowania cywilnego, w postępowaniu nieprocesowym od postanowień sądu pierwszej instancji orzekających co do istoty sprawy przysługuje:</w:t>
      </w:r>
    </w:p>
    <w:p w:rsidR="00D82CF8" w:rsidRPr="00447A30" w:rsidRDefault="0010664B" w:rsidP="00AF3AC0">
      <w:pPr>
        <w:pStyle w:val="Akapitzlist"/>
        <w:numPr>
          <w:ilvl w:val="0"/>
          <w:numId w:val="27"/>
        </w:numPr>
        <w:spacing w:after="20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apelacja;</w:t>
      </w:r>
    </w:p>
    <w:p w:rsidR="00D82CF8" w:rsidRPr="00AF3AC0" w:rsidRDefault="0010664B" w:rsidP="00AF3AC0">
      <w:pPr>
        <w:pStyle w:val="Akapitzlist"/>
        <w:numPr>
          <w:ilvl w:val="0"/>
          <w:numId w:val="27"/>
        </w:numPr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zażalenie;</w:t>
      </w:r>
    </w:p>
    <w:p w:rsidR="00D82CF8" w:rsidRPr="00AF3AC0" w:rsidRDefault="00D82CF8" w:rsidP="00AF3AC0">
      <w:pPr>
        <w:pStyle w:val="Akapitzlist"/>
        <w:numPr>
          <w:ilvl w:val="0"/>
          <w:numId w:val="27"/>
        </w:numPr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sprzeciw.</w:t>
      </w:r>
    </w:p>
    <w:p w:rsidR="00D82CF8" w:rsidRPr="00AF3AC0" w:rsidRDefault="00D82CF8" w:rsidP="00AF3AC0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</w:p>
    <w:p w:rsidR="00D82CF8" w:rsidRPr="00AF3AC0" w:rsidRDefault="00D82CF8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Według Kodeksu postępowania cywilnego, w razie śmierci strony lub jej przedstawiciela ustawowego w toku postępowania:</w:t>
      </w:r>
    </w:p>
    <w:p w:rsidR="00D82CF8" w:rsidRPr="00447A30" w:rsidRDefault="00D82CF8" w:rsidP="00AF3AC0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b/>
          <w:bCs/>
          <w:szCs w:val="24"/>
        </w:rPr>
      </w:pPr>
      <w:r w:rsidRPr="00447A30">
        <w:rPr>
          <w:rFonts w:ascii="Arial" w:hAnsi="Arial" w:cs="Arial"/>
          <w:b/>
          <w:bCs/>
          <w:szCs w:val="24"/>
        </w:rPr>
        <w:t>sąd</w:t>
      </w:r>
      <w:r w:rsidR="0010664B">
        <w:rPr>
          <w:rFonts w:ascii="Arial" w:hAnsi="Arial" w:cs="Arial"/>
          <w:b/>
          <w:bCs/>
          <w:szCs w:val="24"/>
        </w:rPr>
        <w:t xml:space="preserve"> z urzędu zawiesza postępowanie;</w:t>
      </w:r>
    </w:p>
    <w:p w:rsidR="00D82CF8" w:rsidRPr="00AF3AC0" w:rsidRDefault="00D82CF8" w:rsidP="00AF3AC0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bCs/>
          <w:szCs w:val="24"/>
        </w:rPr>
      </w:pPr>
      <w:r w:rsidRPr="00AF3AC0">
        <w:rPr>
          <w:rFonts w:ascii="Arial" w:hAnsi="Arial" w:cs="Arial"/>
          <w:bCs/>
          <w:szCs w:val="24"/>
        </w:rPr>
        <w:lastRenderedPageBreak/>
        <w:t>sąd zawiesza postępowanie jedyn</w:t>
      </w:r>
      <w:r w:rsidR="0010664B">
        <w:rPr>
          <w:rFonts w:ascii="Arial" w:hAnsi="Arial" w:cs="Arial"/>
          <w:bCs/>
          <w:szCs w:val="24"/>
        </w:rPr>
        <w:t>ie na wniosek strony przeciwnej;</w:t>
      </w:r>
    </w:p>
    <w:p w:rsidR="00D82CF8" w:rsidRPr="00AF3AC0" w:rsidRDefault="00D82CF8" w:rsidP="00AF3AC0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bCs/>
          <w:szCs w:val="24"/>
        </w:rPr>
      </w:pPr>
      <w:r w:rsidRPr="00AF3AC0">
        <w:rPr>
          <w:rFonts w:ascii="Arial" w:hAnsi="Arial" w:cs="Arial"/>
          <w:bCs/>
          <w:szCs w:val="24"/>
        </w:rPr>
        <w:t>sąd umarza postępowanie.</w:t>
      </w:r>
    </w:p>
    <w:p w:rsidR="00D82CF8" w:rsidRPr="00AF3AC0" w:rsidRDefault="00D82CF8" w:rsidP="00AF3AC0">
      <w:pPr>
        <w:pStyle w:val="Akapitzlist"/>
        <w:spacing w:line="276" w:lineRule="auto"/>
        <w:ind w:left="1080"/>
        <w:rPr>
          <w:rFonts w:ascii="Arial" w:hAnsi="Arial" w:cs="Arial"/>
          <w:bCs/>
          <w:szCs w:val="24"/>
        </w:rPr>
      </w:pPr>
    </w:p>
    <w:p w:rsidR="00D82CF8" w:rsidRPr="00AF3AC0" w:rsidRDefault="00D82CF8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postępowania cywilnego</w:t>
      </w:r>
    </w:p>
    <w:p w:rsidR="00D82CF8" w:rsidRPr="00AF3AC0" w:rsidRDefault="00D82CF8" w:rsidP="00AF3AC0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color w:val="000000"/>
          <w:szCs w:val="24"/>
        </w:rPr>
      </w:pPr>
      <w:r w:rsidRPr="00AF3AC0">
        <w:rPr>
          <w:rFonts w:ascii="Arial" w:hAnsi="Arial" w:cs="Arial"/>
          <w:color w:val="000000"/>
          <w:szCs w:val="24"/>
        </w:rPr>
        <w:t>sąd zawsze jest związany uznaniem powódz</w:t>
      </w:r>
      <w:r w:rsidR="0010664B">
        <w:rPr>
          <w:rFonts w:ascii="Arial" w:hAnsi="Arial" w:cs="Arial"/>
          <w:color w:val="000000"/>
          <w:szCs w:val="24"/>
        </w:rPr>
        <w:t>twa;</w:t>
      </w:r>
    </w:p>
    <w:p w:rsidR="00D82CF8" w:rsidRPr="00447A30" w:rsidRDefault="00D82CF8" w:rsidP="00AF3AC0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b/>
          <w:color w:val="000000"/>
          <w:szCs w:val="24"/>
        </w:rPr>
      </w:pPr>
      <w:r w:rsidRPr="00447A30">
        <w:rPr>
          <w:rFonts w:ascii="Arial" w:hAnsi="Arial" w:cs="Arial"/>
          <w:b/>
          <w:color w:val="000000"/>
          <w:szCs w:val="24"/>
        </w:rPr>
        <w:t>sąd jest związany uznaniem powództwa, chyba że uznanie jest sprzeczne z prawem lub zasadami współżycia społecznego</w:t>
      </w:r>
      <w:r w:rsidR="0010664B">
        <w:rPr>
          <w:rFonts w:ascii="Arial" w:hAnsi="Arial" w:cs="Arial"/>
          <w:b/>
          <w:color w:val="000000"/>
          <w:szCs w:val="24"/>
        </w:rPr>
        <w:t xml:space="preserve"> albo zmierza do obejścia prawa;</w:t>
      </w:r>
    </w:p>
    <w:p w:rsidR="00D82CF8" w:rsidRDefault="00D82CF8" w:rsidP="00447A30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color w:val="000000"/>
          <w:szCs w:val="24"/>
        </w:rPr>
      </w:pPr>
      <w:r w:rsidRPr="00AF3AC0">
        <w:rPr>
          <w:rFonts w:ascii="Arial" w:hAnsi="Arial" w:cs="Arial"/>
          <w:color w:val="000000"/>
          <w:szCs w:val="24"/>
        </w:rPr>
        <w:t xml:space="preserve">sąd nie jest związany uznaniem powództwa. </w:t>
      </w:r>
    </w:p>
    <w:p w:rsidR="00447A30" w:rsidRPr="00447A30" w:rsidRDefault="00447A30" w:rsidP="00447A30">
      <w:pPr>
        <w:pStyle w:val="Akapitzlist"/>
        <w:spacing w:line="276" w:lineRule="auto"/>
        <w:ind w:left="1080"/>
        <w:rPr>
          <w:rFonts w:ascii="Arial" w:hAnsi="Arial" w:cs="Arial"/>
          <w:color w:val="000000"/>
          <w:szCs w:val="24"/>
        </w:rPr>
      </w:pPr>
    </w:p>
    <w:p w:rsidR="00D82CF8" w:rsidRPr="00AF3AC0" w:rsidRDefault="00D82CF8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postępowania cywilnego, jeżeli wyrok uwzględniający powództwo jest zaoczny i nadaje się do wykonania, wówczas Sąd:</w:t>
      </w:r>
    </w:p>
    <w:p w:rsidR="00280276" w:rsidRDefault="00D82CF8" w:rsidP="00AF3AC0">
      <w:pPr>
        <w:pStyle w:val="Akapitzlist"/>
        <w:spacing w:after="200" w:line="276" w:lineRule="auto"/>
        <w:rPr>
          <w:rFonts w:ascii="Arial" w:hAnsi="Arial" w:cs="Arial"/>
          <w:color w:val="000000"/>
          <w:szCs w:val="24"/>
        </w:rPr>
      </w:pPr>
      <w:r w:rsidRPr="00280276">
        <w:rPr>
          <w:rFonts w:ascii="Arial" w:hAnsi="Arial" w:cs="Arial"/>
          <w:szCs w:val="24"/>
        </w:rPr>
        <w:t>a)</w:t>
      </w:r>
      <w:r w:rsidRPr="00AF3AC0">
        <w:rPr>
          <w:rFonts w:ascii="Arial" w:hAnsi="Arial" w:cs="Arial"/>
          <w:szCs w:val="24"/>
        </w:rPr>
        <w:t xml:space="preserve"> </w:t>
      </w:r>
      <w:r w:rsidRPr="00AF3AC0">
        <w:rPr>
          <w:rFonts w:ascii="Arial" w:hAnsi="Arial" w:cs="Arial"/>
          <w:color w:val="000000"/>
          <w:szCs w:val="24"/>
        </w:rPr>
        <w:t>nie może nadać wyrokowi przy jego wydaniu rygo</w:t>
      </w:r>
      <w:r w:rsidR="0010664B">
        <w:rPr>
          <w:rFonts w:ascii="Arial" w:hAnsi="Arial" w:cs="Arial"/>
          <w:color w:val="000000"/>
          <w:szCs w:val="24"/>
        </w:rPr>
        <w:t xml:space="preserve">ru natychmiastowej </w:t>
      </w:r>
      <w:r w:rsidR="00280276">
        <w:rPr>
          <w:rFonts w:ascii="Arial" w:hAnsi="Arial" w:cs="Arial"/>
          <w:color w:val="000000"/>
          <w:szCs w:val="24"/>
        </w:rPr>
        <w:t xml:space="preserve"> </w:t>
      </w:r>
    </w:p>
    <w:p w:rsidR="00D82CF8" w:rsidRPr="00AF3AC0" w:rsidRDefault="00280276" w:rsidP="00AF3AC0">
      <w:pPr>
        <w:pStyle w:val="Akapitzlist"/>
        <w:spacing w:after="200" w:line="276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</w:t>
      </w:r>
      <w:r w:rsidR="0010664B">
        <w:rPr>
          <w:rFonts w:ascii="Arial" w:hAnsi="Arial" w:cs="Arial"/>
          <w:color w:val="000000"/>
          <w:szCs w:val="24"/>
        </w:rPr>
        <w:t>wykonalności;</w:t>
      </w:r>
    </w:p>
    <w:p w:rsidR="00280276" w:rsidRDefault="00D82CF8" w:rsidP="00AF3AC0">
      <w:pPr>
        <w:pStyle w:val="Akapitzlist"/>
        <w:spacing w:after="200" w:line="276" w:lineRule="auto"/>
        <w:rPr>
          <w:rFonts w:ascii="Arial" w:hAnsi="Arial" w:cs="Arial"/>
          <w:color w:val="000000"/>
          <w:szCs w:val="24"/>
        </w:rPr>
      </w:pPr>
      <w:r w:rsidRPr="00280276">
        <w:rPr>
          <w:rFonts w:ascii="Arial" w:hAnsi="Arial" w:cs="Arial"/>
          <w:szCs w:val="24"/>
        </w:rPr>
        <w:t>b)</w:t>
      </w:r>
      <w:r w:rsidRPr="00AF3AC0">
        <w:rPr>
          <w:rFonts w:ascii="Arial" w:hAnsi="Arial" w:cs="Arial"/>
          <w:b/>
          <w:szCs w:val="24"/>
        </w:rPr>
        <w:t xml:space="preserve"> </w:t>
      </w:r>
      <w:r w:rsidRPr="00AF3AC0">
        <w:rPr>
          <w:rFonts w:ascii="Arial" w:hAnsi="Arial" w:cs="Arial"/>
          <w:color w:val="000000"/>
          <w:szCs w:val="24"/>
        </w:rPr>
        <w:t xml:space="preserve">może tylko na wniosek powoda nadać wyrokowi przy jego wydaniu rygor </w:t>
      </w:r>
    </w:p>
    <w:p w:rsidR="00D82CF8" w:rsidRPr="00AF3AC0" w:rsidRDefault="00280276" w:rsidP="00AF3AC0">
      <w:pPr>
        <w:pStyle w:val="Akapitzlist"/>
        <w:spacing w:after="200" w:line="276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D82CF8" w:rsidRPr="00AF3AC0">
        <w:rPr>
          <w:rFonts w:ascii="Arial" w:hAnsi="Arial" w:cs="Arial"/>
          <w:color w:val="000000"/>
          <w:szCs w:val="24"/>
        </w:rPr>
        <w:t>natychmiastowej wykonalno</w:t>
      </w:r>
      <w:r w:rsidR="0010664B">
        <w:rPr>
          <w:rFonts w:ascii="Arial" w:hAnsi="Arial" w:cs="Arial"/>
          <w:color w:val="000000"/>
          <w:szCs w:val="24"/>
        </w:rPr>
        <w:t>ści;</w:t>
      </w:r>
    </w:p>
    <w:p w:rsidR="00280276" w:rsidRDefault="00D82CF8" w:rsidP="00AF3AC0">
      <w:pPr>
        <w:pStyle w:val="Akapitzlist"/>
        <w:spacing w:after="200" w:line="276" w:lineRule="auto"/>
        <w:rPr>
          <w:rFonts w:ascii="Arial" w:hAnsi="Arial" w:cs="Arial"/>
          <w:b/>
          <w:color w:val="000000"/>
          <w:szCs w:val="24"/>
        </w:rPr>
      </w:pPr>
      <w:r w:rsidRPr="00447A30">
        <w:rPr>
          <w:rFonts w:ascii="Arial" w:hAnsi="Arial" w:cs="Arial"/>
          <w:b/>
          <w:szCs w:val="24"/>
        </w:rPr>
        <w:t xml:space="preserve">c) </w:t>
      </w:r>
      <w:r w:rsidRPr="00447A30">
        <w:rPr>
          <w:rFonts w:ascii="Arial" w:hAnsi="Arial" w:cs="Arial"/>
          <w:b/>
          <w:color w:val="000000"/>
          <w:szCs w:val="24"/>
        </w:rPr>
        <w:t xml:space="preserve">z urzędu nadaje wyrokowi przy jego wydaniu rygor natychmiastowej </w:t>
      </w:r>
      <w:r w:rsidR="00280276">
        <w:rPr>
          <w:rFonts w:ascii="Arial" w:hAnsi="Arial" w:cs="Arial"/>
          <w:b/>
          <w:color w:val="000000"/>
          <w:szCs w:val="24"/>
        </w:rPr>
        <w:t xml:space="preserve"> </w:t>
      </w:r>
    </w:p>
    <w:p w:rsidR="00D82CF8" w:rsidRPr="00447A30" w:rsidRDefault="00280276" w:rsidP="00AF3AC0">
      <w:pPr>
        <w:pStyle w:val="Akapitzlist"/>
        <w:spacing w:after="200" w:line="276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    </w:t>
      </w:r>
      <w:r w:rsidR="00D82CF8" w:rsidRPr="00447A30">
        <w:rPr>
          <w:rFonts w:ascii="Arial" w:hAnsi="Arial" w:cs="Arial"/>
          <w:b/>
          <w:color w:val="000000"/>
          <w:szCs w:val="24"/>
        </w:rPr>
        <w:t xml:space="preserve">wykonalności. </w:t>
      </w:r>
    </w:p>
    <w:p w:rsidR="00D82CF8" w:rsidRPr="00AF3AC0" w:rsidRDefault="00D82CF8" w:rsidP="00AF3AC0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</w:p>
    <w:p w:rsidR="00D802D3" w:rsidRPr="00AF3AC0" w:rsidRDefault="00D802D3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bCs/>
          <w:szCs w:val="24"/>
        </w:rPr>
      </w:pPr>
      <w:r w:rsidRPr="00AF3AC0">
        <w:rPr>
          <w:rFonts w:ascii="Arial" w:hAnsi="Arial" w:cs="Arial"/>
          <w:b/>
          <w:szCs w:val="24"/>
        </w:rPr>
        <w:t>Zgodnie z Kodeksem postępowania cywilnego:</w:t>
      </w:r>
    </w:p>
    <w:p w:rsidR="00D802D3" w:rsidRPr="00AF3AC0" w:rsidRDefault="00D802D3" w:rsidP="00AF3AC0">
      <w:pPr>
        <w:pStyle w:val="Akapitzlist"/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a) świadek ni</w:t>
      </w:r>
      <w:r w:rsidR="0010664B">
        <w:rPr>
          <w:rFonts w:ascii="Arial" w:hAnsi="Arial" w:cs="Arial"/>
          <w:szCs w:val="24"/>
        </w:rPr>
        <w:t>e może składać zeznań na piśmie;</w:t>
      </w:r>
    </w:p>
    <w:p w:rsidR="00D802D3" w:rsidRPr="00447A30" w:rsidRDefault="00D802D3" w:rsidP="00AF3AC0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b) świadek składa zeznanie na p</w:t>
      </w:r>
      <w:r w:rsidR="0010664B">
        <w:rPr>
          <w:rFonts w:ascii="Arial" w:hAnsi="Arial" w:cs="Arial"/>
          <w:b/>
          <w:szCs w:val="24"/>
        </w:rPr>
        <w:t>iśmie, jeżeli sąd tak postanowi;</w:t>
      </w:r>
    </w:p>
    <w:p w:rsidR="00D04196" w:rsidRPr="00280276" w:rsidRDefault="00D802D3" w:rsidP="00280276">
      <w:pPr>
        <w:pStyle w:val="Akapitzlist"/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c) świadek składa zeznanie na piśmie, jeżeli sąd tak postanowi, ale tylko</w:t>
      </w:r>
      <w:r w:rsidRPr="00AF3AC0">
        <w:rPr>
          <w:rFonts w:ascii="Arial" w:hAnsi="Arial" w:cs="Arial"/>
          <w:szCs w:val="24"/>
        </w:rPr>
        <w:br/>
      </w:r>
      <w:r w:rsidR="00280276">
        <w:rPr>
          <w:rFonts w:ascii="Arial" w:hAnsi="Arial" w:cs="Arial"/>
          <w:szCs w:val="24"/>
        </w:rPr>
        <w:t xml:space="preserve">     </w:t>
      </w:r>
      <w:r w:rsidRPr="00280276">
        <w:rPr>
          <w:rFonts w:ascii="Arial" w:hAnsi="Arial" w:cs="Arial"/>
          <w:szCs w:val="24"/>
        </w:rPr>
        <w:t>w postępowaniu nieprocesowym.</w:t>
      </w:r>
    </w:p>
    <w:p w:rsidR="00965F69" w:rsidRPr="00AF3AC0" w:rsidRDefault="00965F69" w:rsidP="00AF3AC0">
      <w:pPr>
        <w:pStyle w:val="Akapitzlist"/>
        <w:spacing w:after="200" w:line="276" w:lineRule="auto"/>
        <w:rPr>
          <w:rFonts w:ascii="Arial" w:hAnsi="Arial" w:cs="Arial"/>
          <w:szCs w:val="24"/>
        </w:rPr>
      </w:pPr>
    </w:p>
    <w:p w:rsidR="00D802D3" w:rsidRPr="00AF3AC0" w:rsidRDefault="00D802D3" w:rsidP="00AF3A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  <w:r w:rsidRPr="00AF3AC0">
        <w:rPr>
          <w:rFonts w:ascii="Arial" w:hAnsi="Arial" w:cs="Arial"/>
          <w:b/>
          <w:bCs/>
          <w:szCs w:val="24"/>
        </w:rPr>
        <w:t>Według Kodeksu postępowania cywilnego</w:t>
      </w:r>
      <w:r w:rsidRPr="00AF3AC0">
        <w:rPr>
          <w:rFonts w:ascii="Arial" w:hAnsi="Arial" w:cs="Arial"/>
          <w:bCs/>
          <w:szCs w:val="24"/>
        </w:rPr>
        <w:t xml:space="preserve">, </w:t>
      </w:r>
      <w:r w:rsidRPr="00AF3AC0">
        <w:rPr>
          <w:rFonts w:ascii="Arial" w:eastAsia="Times New Roman" w:hAnsi="Arial" w:cs="Arial"/>
          <w:b/>
          <w:szCs w:val="24"/>
          <w:lang w:eastAsia="pl-PL"/>
        </w:rPr>
        <w:t>rozpoznając skargę na postanowienie referendarza sądowego w przedmiocie kosztów sądowych lub kosztów procesu oraz na postanowienie o odmowie ustanowienia adwokata lub radcy prawnego, sąd wydaje postanowienie, w którym:</w:t>
      </w:r>
    </w:p>
    <w:p w:rsidR="00280276" w:rsidRDefault="00D802D3" w:rsidP="00AF3AC0">
      <w:pPr>
        <w:pStyle w:val="Akapitzlist"/>
        <w:spacing w:line="276" w:lineRule="auto"/>
        <w:rPr>
          <w:rFonts w:ascii="Arial" w:eastAsia="Times New Roman" w:hAnsi="Arial" w:cs="Arial"/>
          <w:szCs w:val="24"/>
          <w:lang w:eastAsia="pl-PL"/>
        </w:rPr>
      </w:pPr>
      <w:r w:rsidRPr="00AF3AC0">
        <w:rPr>
          <w:rFonts w:ascii="Arial" w:hAnsi="Arial" w:cs="Arial"/>
          <w:szCs w:val="24"/>
        </w:rPr>
        <w:t xml:space="preserve">a) </w:t>
      </w:r>
      <w:r w:rsidRPr="00AF3AC0">
        <w:rPr>
          <w:rFonts w:ascii="Arial" w:eastAsia="Times New Roman" w:hAnsi="Arial" w:cs="Arial"/>
          <w:szCs w:val="24"/>
          <w:lang w:eastAsia="pl-PL"/>
        </w:rPr>
        <w:t xml:space="preserve">zaskarżone postanowienie referendarza sądowego uchyla i przekazuje </w:t>
      </w:r>
    </w:p>
    <w:p w:rsidR="00D802D3" w:rsidRPr="00AF3AC0" w:rsidRDefault="00280276" w:rsidP="00AF3AC0">
      <w:pPr>
        <w:pStyle w:val="Akapitzlist"/>
        <w:spacing w:line="276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    </w:t>
      </w:r>
      <w:r w:rsidR="00D802D3" w:rsidRPr="00AF3AC0">
        <w:rPr>
          <w:rFonts w:ascii="Arial" w:eastAsia="Times New Roman" w:hAnsi="Arial" w:cs="Arial"/>
          <w:szCs w:val="24"/>
          <w:lang w:eastAsia="pl-PL"/>
        </w:rPr>
        <w:t>sprawę referendarzowi są</w:t>
      </w:r>
      <w:r w:rsidR="0010664B">
        <w:rPr>
          <w:rFonts w:ascii="Arial" w:eastAsia="Times New Roman" w:hAnsi="Arial" w:cs="Arial"/>
          <w:szCs w:val="24"/>
          <w:lang w:eastAsia="pl-PL"/>
        </w:rPr>
        <w:t>dowemu do ponownego rozpoznania;</w:t>
      </w:r>
    </w:p>
    <w:p w:rsidR="00280276" w:rsidRDefault="00D802D3" w:rsidP="00AF3AC0">
      <w:pPr>
        <w:pStyle w:val="Akapitzlist"/>
        <w:spacing w:line="276" w:lineRule="auto"/>
        <w:rPr>
          <w:rFonts w:ascii="Arial" w:eastAsia="Times New Roman" w:hAnsi="Arial" w:cs="Arial"/>
          <w:b/>
          <w:szCs w:val="24"/>
          <w:lang w:eastAsia="pl-PL"/>
        </w:rPr>
      </w:pPr>
      <w:r w:rsidRPr="00447A30">
        <w:rPr>
          <w:rFonts w:ascii="Arial" w:eastAsia="Times New Roman" w:hAnsi="Arial" w:cs="Arial"/>
          <w:b/>
          <w:szCs w:val="24"/>
          <w:lang w:eastAsia="pl-PL"/>
        </w:rPr>
        <w:t>b)</w:t>
      </w:r>
      <w:r w:rsidRPr="00447A30">
        <w:rPr>
          <w:rFonts w:ascii="Arial" w:hAnsi="Arial" w:cs="Arial"/>
          <w:b/>
          <w:szCs w:val="24"/>
        </w:rPr>
        <w:t xml:space="preserve"> </w:t>
      </w:r>
      <w:r w:rsidRPr="00447A30">
        <w:rPr>
          <w:rFonts w:ascii="Arial" w:eastAsia="Times New Roman" w:hAnsi="Arial" w:cs="Arial"/>
          <w:b/>
          <w:szCs w:val="24"/>
          <w:lang w:eastAsia="pl-PL"/>
        </w:rPr>
        <w:t xml:space="preserve">zaskarżone postanowienie referendarza sądowego </w:t>
      </w:r>
      <w:r w:rsidR="0010664B">
        <w:rPr>
          <w:rFonts w:ascii="Arial" w:eastAsia="Times New Roman" w:hAnsi="Arial" w:cs="Arial"/>
          <w:b/>
          <w:szCs w:val="24"/>
          <w:lang w:eastAsia="pl-PL"/>
        </w:rPr>
        <w:t xml:space="preserve">utrzymuje w mocy </w:t>
      </w:r>
    </w:p>
    <w:p w:rsidR="00D802D3" w:rsidRPr="00447A30" w:rsidRDefault="00280276" w:rsidP="00AF3AC0">
      <w:pPr>
        <w:pStyle w:val="Akapitzlist"/>
        <w:spacing w:line="276" w:lineRule="auto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10664B">
        <w:rPr>
          <w:rFonts w:ascii="Arial" w:eastAsia="Times New Roman" w:hAnsi="Arial" w:cs="Arial"/>
          <w:b/>
          <w:szCs w:val="24"/>
          <w:lang w:eastAsia="pl-PL"/>
        </w:rPr>
        <w:t>lub je zmienia;</w:t>
      </w:r>
    </w:p>
    <w:p w:rsidR="00280276" w:rsidRDefault="00D802D3" w:rsidP="00AF3AC0">
      <w:pPr>
        <w:pStyle w:val="Akapitzlist"/>
        <w:spacing w:line="276" w:lineRule="auto"/>
        <w:rPr>
          <w:rFonts w:ascii="Arial" w:eastAsia="Times New Roman" w:hAnsi="Arial" w:cs="Arial"/>
          <w:szCs w:val="24"/>
          <w:lang w:eastAsia="pl-PL"/>
        </w:rPr>
      </w:pPr>
      <w:r w:rsidRPr="00AF3AC0">
        <w:rPr>
          <w:rFonts w:ascii="Arial" w:eastAsia="Times New Roman" w:hAnsi="Arial" w:cs="Arial"/>
          <w:szCs w:val="24"/>
          <w:lang w:eastAsia="pl-PL"/>
        </w:rPr>
        <w:t xml:space="preserve">c) zaskarżone postanowienie referendarza sądowego uchyla i rozpoznaje </w:t>
      </w:r>
    </w:p>
    <w:p w:rsidR="00D802D3" w:rsidRPr="00AF3AC0" w:rsidRDefault="00280276" w:rsidP="00AF3AC0">
      <w:pPr>
        <w:pStyle w:val="Akapitzlist"/>
        <w:spacing w:line="276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    </w:t>
      </w:r>
      <w:r w:rsidR="00D802D3" w:rsidRPr="00AF3AC0">
        <w:rPr>
          <w:rFonts w:ascii="Arial" w:eastAsia="Times New Roman" w:hAnsi="Arial" w:cs="Arial"/>
          <w:szCs w:val="24"/>
          <w:lang w:eastAsia="pl-PL"/>
        </w:rPr>
        <w:t>sprawę od nowa.</w:t>
      </w:r>
    </w:p>
    <w:p w:rsidR="00D802D3" w:rsidRPr="00AF3AC0" w:rsidRDefault="00D802D3" w:rsidP="00AF3AC0">
      <w:pPr>
        <w:pStyle w:val="Akapitzlist"/>
        <w:spacing w:line="276" w:lineRule="auto"/>
        <w:rPr>
          <w:rFonts w:ascii="Arial" w:eastAsia="Times New Roman" w:hAnsi="Arial" w:cs="Arial"/>
          <w:szCs w:val="24"/>
          <w:lang w:eastAsia="pl-PL"/>
        </w:rPr>
      </w:pPr>
    </w:p>
    <w:p w:rsidR="00D802D3" w:rsidRPr="00AF3AC0" w:rsidRDefault="00D802D3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Zgodnie z Kodeksem postępowania cywilnego, udzielenia zabezpieczenia można żądać:</w:t>
      </w:r>
    </w:p>
    <w:p w:rsidR="00280276" w:rsidRDefault="00D802D3" w:rsidP="00AF3AC0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a) w każdej sprawie cywilnej podlegającej rozpozna</w:t>
      </w:r>
      <w:r w:rsidR="0010664B">
        <w:rPr>
          <w:rFonts w:ascii="Arial" w:hAnsi="Arial" w:cs="Arial"/>
          <w:b/>
          <w:szCs w:val="24"/>
        </w:rPr>
        <w:t xml:space="preserve">niu przez sąd lub sąd </w:t>
      </w:r>
    </w:p>
    <w:p w:rsidR="00D802D3" w:rsidRPr="00447A30" w:rsidRDefault="00280276" w:rsidP="00AF3AC0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10664B">
        <w:rPr>
          <w:rFonts w:ascii="Arial" w:hAnsi="Arial" w:cs="Arial"/>
          <w:b/>
          <w:szCs w:val="24"/>
        </w:rPr>
        <w:t>polubowny;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D802D3" w:rsidRPr="00AF3AC0">
        <w:rPr>
          <w:rFonts w:ascii="Arial" w:hAnsi="Arial" w:cs="Arial"/>
          <w:szCs w:val="24"/>
        </w:rPr>
        <w:t>tylko i wyłącznie w sprawie cywilnej podlegającej rozpoznan</w:t>
      </w:r>
      <w:r>
        <w:rPr>
          <w:rFonts w:ascii="Arial" w:hAnsi="Arial" w:cs="Arial"/>
          <w:szCs w:val="24"/>
        </w:rPr>
        <w:t xml:space="preserve">iu </w:t>
      </w:r>
      <w:r w:rsidR="0010664B" w:rsidRPr="00280276">
        <w:rPr>
          <w:rFonts w:ascii="Arial" w:hAnsi="Arial" w:cs="Arial"/>
          <w:szCs w:val="24"/>
        </w:rPr>
        <w:t xml:space="preserve">w </w:t>
      </w:r>
      <w:r>
        <w:rPr>
          <w:rFonts w:ascii="Arial" w:hAnsi="Arial" w:cs="Arial"/>
          <w:szCs w:val="24"/>
        </w:rPr>
        <w:t xml:space="preserve">   </w:t>
      </w:r>
    </w:p>
    <w:p w:rsidR="00D802D3" w:rsidRPr="00280276" w:rsidRDefault="00280276" w:rsidP="00280276">
      <w:pPr>
        <w:pStyle w:val="Akapitzlist"/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10664B" w:rsidRPr="00280276">
        <w:rPr>
          <w:rFonts w:ascii="Arial" w:hAnsi="Arial" w:cs="Arial"/>
          <w:szCs w:val="24"/>
        </w:rPr>
        <w:t>postępowaniu nieprocesowym;</w:t>
      </w:r>
    </w:p>
    <w:p w:rsidR="00280276" w:rsidRDefault="00D802D3" w:rsidP="00280276">
      <w:pPr>
        <w:pStyle w:val="Akapitzlist"/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>c) tylko i wyłącznie w sprawie cywilnej podlegającej rozpozna</w:t>
      </w:r>
      <w:r w:rsidR="00280276">
        <w:rPr>
          <w:rFonts w:ascii="Arial" w:hAnsi="Arial" w:cs="Arial"/>
          <w:szCs w:val="24"/>
        </w:rPr>
        <w:t xml:space="preserve">niu </w:t>
      </w:r>
      <w:r w:rsidR="0010664B" w:rsidRPr="00280276">
        <w:rPr>
          <w:rFonts w:ascii="Arial" w:hAnsi="Arial" w:cs="Arial"/>
          <w:szCs w:val="24"/>
        </w:rPr>
        <w:t xml:space="preserve">w </w:t>
      </w:r>
      <w:r w:rsidR="00280276">
        <w:rPr>
          <w:rFonts w:ascii="Arial" w:hAnsi="Arial" w:cs="Arial"/>
          <w:szCs w:val="24"/>
        </w:rPr>
        <w:t xml:space="preserve"> </w:t>
      </w:r>
    </w:p>
    <w:p w:rsidR="00965F69" w:rsidRPr="00280276" w:rsidRDefault="00280276" w:rsidP="00280276">
      <w:pPr>
        <w:pStyle w:val="Akapitzlist"/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10664B" w:rsidRPr="00280276">
        <w:rPr>
          <w:rFonts w:ascii="Arial" w:hAnsi="Arial" w:cs="Arial"/>
          <w:szCs w:val="24"/>
        </w:rPr>
        <w:t>postępowaniu egzekucyjnym.</w:t>
      </w:r>
    </w:p>
    <w:p w:rsidR="00965F69" w:rsidRPr="00965F69" w:rsidRDefault="00965F69" w:rsidP="00965F69">
      <w:pPr>
        <w:pStyle w:val="Akapitzlist"/>
        <w:spacing w:after="200" w:line="276" w:lineRule="auto"/>
        <w:rPr>
          <w:rFonts w:ascii="Arial" w:hAnsi="Arial" w:cs="Arial"/>
          <w:szCs w:val="24"/>
        </w:rPr>
      </w:pPr>
    </w:p>
    <w:p w:rsidR="00D802D3" w:rsidRPr="00AF3AC0" w:rsidRDefault="00D668B2" w:rsidP="00AF3AC0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lastRenderedPageBreak/>
        <w:t>Z</w:t>
      </w:r>
      <w:r w:rsidR="00D802D3" w:rsidRPr="00AF3AC0">
        <w:rPr>
          <w:rFonts w:ascii="Arial" w:hAnsi="Arial" w:cs="Arial"/>
          <w:b/>
          <w:szCs w:val="24"/>
        </w:rPr>
        <w:t>godnie z Kodeksem postępowania cywilnego, w postępowaniu wieczystoksięgowym oraz w postępowaniach rejestrowych wniosek podlegający opłacie stałej, który nie został należycie opłacony:</w:t>
      </w:r>
    </w:p>
    <w:p w:rsidR="00280276" w:rsidRDefault="00D802D3" w:rsidP="00280276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  <w:r w:rsidRPr="00447A30">
        <w:rPr>
          <w:rFonts w:ascii="Arial" w:hAnsi="Arial" w:cs="Arial"/>
          <w:b/>
          <w:szCs w:val="24"/>
        </w:rPr>
        <w:t>a) przewodniczący zwraca bez wezwania o uiszczenie tej opłaty</w:t>
      </w:r>
      <w:r w:rsidR="00280276">
        <w:rPr>
          <w:rFonts w:ascii="Arial" w:hAnsi="Arial" w:cs="Arial"/>
          <w:b/>
          <w:szCs w:val="24"/>
        </w:rPr>
        <w:t xml:space="preserve">                           </w:t>
      </w:r>
    </w:p>
    <w:p w:rsidR="00280276" w:rsidRDefault="00280276" w:rsidP="00280276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D802D3" w:rsidRPr="00280276">
        <w:rPr>
          <w:rFonts w:ascii="Arial" w:hAnsi="Arial" w:cs="Arial"/>
          <w:b/>
          <w:szCs w:val="24"/>
        </w:rPr>
        <w:t xml:space="preserve">i w zarządzeniu o zwrocie pisma  wskazuje </w:t>
      </w:r>
      <w:r w:rsidR="0010664B" w:rsidRPr="00280276">
        <w:rPr>
          <w:rFonts w:ascii="Arial" w:hAnsi="Arial" w:cs="Arial"/>
          <w:b/>
          <w:szCs w:val="24"/>
        </w:rPr>
        <w:t xml:space="preserve">wysokość należnej opłaty </w:t>
      </w:r>
    </w:p>
    <w:p w:rsidR="00D802D3" w:rsidRPr="00280276" w:rsidRDefault="00280276" w:rsidP="00280276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10664B" w:rsidRPr="00280276">
        <w:rPr>
          <w:rFonts w:ascii="Arial" w:hAnsi="Arial" w:cs="Arial"/>
          <w:b/>
          <w:szCs w:val="24"/>
        </w:rPr>
        <w:t>stałej;</w:t>
      </w:r>
    </w:p>
    <w:p w:rsidR="00280276" w:rsidRDefault="00D802D3" w:rsidP="00447A30">
      <w:pPr>
        <w:pStyle w:val="Akapitzlist"/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 xml:space="preserve">b) przewodniczący  wzywa wnioskodawcę do uiszczenie należnej opłaty stałej </w:t>
      </w:r>
    </w:p>
    <w:p w:rsidR="00D802D3" w:rsidRPr="00AF3AC0" w:rsidRDefault="00280276" w:rsidP="00447A30">
      <w:pPr>
        <w:pStyle w:val="Akapitzlist"/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D802D3" w:rsidRPr="00AF3AC0">
        <w:rPr>
          <w:rFonts w:ascii="Arial" w:hAnsi="Arial" w:cs="Arial"/>
          <w:szCs w:val="24"/>
        </w:rPr>
        <w:t>w terminie tygodni</w:t>
      </w:r>
      <w:r w:rsidR="0010664B">
        <w:rPr>
          <w:rFonts w:ascii="Arial" w:hAnsi="Arial" w:cs="Arial"/>
          <w:szCs w:val="24"/>
        </w:rPr>
        <w:t>owym pod rygorem zwrotu wniosku;</w:t>
      </w:r>
    </w:p>
    <w:p w:rsidR="00280276" w:rsidRDefault="00D802D3" w:rsidP="00447A30">
      <w:pPr>
        <w:pStyle w:val="Akapitzlist"/>
        <w:spacing w:after="200" w:line="276" w:lineRule="auto"/>
        <w:rPr>
          <w:rFonts w:ascii="Arial" w:hAnsi="Arial" w:cs="Arial"/>
          <w:szCs w:val="24"/>
        </w:rPr>
      </w:pPr>
      <w:r w:rsidRPr="00AF3AC0">
        <w:rPr>
          <w:rFonts w:ascii="Arial" w:hAnsi="Arial" w:cs="Arial"/>
          <w:szCs w:val="24"/>
        </w:rPr>
        <w:t xml:space="preserve">c) przewodniczący  wzywa wnioskodawcę do uiszczenie należnej opłaty stałej </w:t>
      </w:r>
    </w:p>
    <w:p w:rsidR="00D668B2" w:rsidRPr="00AF3AC0" w:rsidRDefault="00280276" w:rsidP="00447A30">
      <w:pPr>
        <w:pStyle w:val="Akapitzlist"/>
        <w:spacing w:after="20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D802D3" w:rsidRPr="00AF3AC0">
        <w:rPr>
          <w:rFonts w:ascii="Arial" w:hAnsi="Arial" w:cs="Arial"/>
          <w:szCs w:val="24"/>
        </w:rPr>
        <w:t>w terminie tygodniowym pod rygorem  zawieszenia postępowania.</w:t>
      </w:r>
    </w:p>
    <w:p w:rsidR="00D668B2" w:rsidRPr="00AF3AC0" w:rsidRDefault="00D668B2" w:rsidP="00AF3AC0">
      <w:pPr>
        <w:pStyle w:val="Akapitzlist"/>
        <w:spacing w:after="200" w:line="276" w:lineRule="auto"/>
        <w:rPr>
          <w:rFonts w:ascii="Arial" w:hAnsi="Arial" w:cs="Arial"/>
          <w:szCs w:val="24"/>
        </w:rPr>
      </w:pPr>
    </w:p>
    <w:p w:rsidR="00B927BF" w:rsidRPr="00B927BF" w:rsidRDefault="00B927BF" w:rsidP="004416F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 w:rsidRPr="00B927BF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>Według Kodeksu cywilnego, umowa sprzedaży, zamiany, darowizny, przekazania nieruchomości lub inna umowa zobowiązująca do przeniesienia własności rzeczy oznaczonej co do tożsamości:</w:t>
      </w:r>
    </w:p>
    <w:p w:rsidR="00280276" w:rsidRDefault="00B927BF" w:rsidP="004416FE">
      <w:pPr>
        <w:shd w:val="clear" w:color="auto" w:fill="FFFFFF"/>
        <w:spacing w:line="276" w:lineRule="auto"/>
        <w:ind w:left="720"/>
        <w:jc w:val="left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B927BF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a) przenosi własność na nabywcę, chyba że przepis szczególny stanowi </w:t>
      </w:r>
      <w:r w:rsidR="00280276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</w:t>
      </w:r>
    </w:p>
    <w:p w:rsidR="00B927BF" w:rsidRPr="00B927BF" w:rsidRDefault="00280276" w:rsidP="004416FE">
      <w:pPr>
        <w:shd w:val="clear" w:color="auto" w:fill="FFFFFF"/>
        <w:spacing w:line="276" w:lineRule="auto"/>
        <w:ind w:left="720"/>
        <w:jc w:val="left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    </w:t>
      </w:r>
      <w:r w:rsidR="00B927BF" w:rsidRPr="00B927BF">
        <w:rPr>
          <w:rFonts w:ascii="Arial" w:eastAsia="Times New Roman" w:hAnsi="Arial" w:cs="Arial"/>
          <w:b/>
          <w:color w:val="000000"/>
          <w:szCs w:val="24"/>
          <w:lang w:eastAsia="pl-PL"/>
        </w:rPr>
        <w:t>inaczej alb</w:t>
      </w:r>
      <w:r w:rsidR="0023361C">
        <w:rPr>
          <w:rFonts w:ascii="Arial" w:eastAsia="Times New Roman" w:hAnsi="Arial" w:cs="Arial"/>
          <w:b/>
          <w:color w:val="000000"/>
          <w:szCs w:val="24"/>
          <w:lang w:eastAsia="pl-PL"/>
        </w:rPr>
        <w:t>o że strony inaczej postanowiły;</w:t>
      </w:r>
    </w:p>
    <w:p w:rsidR="00B927BF" w:rsidRDefault="00B927BF" w:rsidP="004416FE">
      <w:pPr>
        <w:shd w:val="clear" w:color="auto" w:fill="FFFFFF"/>
        <w:spacing w:line="276" w:lineRule="auto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       b)</w:t>
      </w:r>
      <w:r w:rsidRPr="00B927BF">
        <w:rPr>
          <w:rFonts w:ascii="Arial" w:eastAsia="Times New Roman" w:hAnsi="Arial" w:cs="Arial"/>
          <w:color w:val="000000"/>
          <w:szCs w:val="24"/>
          <w:lang w:eastAsia="pl-PL"/>
        </w:rPr>
        <w:t xml:space="preserve"> przenosi własność na nabywcę z chwilą faktycznego objęcia rzeczy w </w:t>
      </w:r>
    </w:p>
    <w:p w:rsidR="00280276" w:rsidRDefault="00280276" w:rsidP="004416FE">
      <w:pPr>
        <w:shd w:val="clear" w:color="auto" w:fill="FFFFFF"/>
        <w:spacing w:line="276" w:lineRule="auto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           </w:t>
      </w:r>
      <w:r w:rsidR="00B927BF" w:rsidRPr="00B927BF">
        <w:rPr>
          <w:rFonts w:ascii="Arial" w:eastAsia="Times New Roman" w:hAnsi="Arial" w:cs="Arial"/>
          <w:color w:val="000000"/>
          <w:szCs w:val="24"/>
          <w:lang w:eastAsia="pl-PL"/>
        </w:rPr>
        <w:t xml:space="preserve">posiadanie przez nabywcę, chyba że przepis szczególny stanowi inaczej </w:t>
      </w:r>
    </w:p>
    <w:p w:rsidR="00B927BF" w:rsidRPr="00B927BF" w:rsidRDefault="00280276" w:rsidP="004416FE">
      <w:pPr>
        <w:shd w:val="clear" w:color="auto" w:fill="FFFFFF"/>
        <w:spacing w:line="276" w:lineRule="auto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           albo</w:t>
      </w:r>
      <w:r w:rsidR="00B927BF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  <w:r w:rsidR="00B927BF" w:rsidRPr="00B927BF">
        <w:rPr>
          <w:rFonts w:ascii="Arial" w:eastAsia="Times New Roman" w:hAnsi="Arial" w:cs="Arial"/>
          <w:color w:val="000000"/>
          <w:szCs w:val="24"/>
          <w:lang w:eastAsia="pl-PL"/>
        </w:rPr>
        <w:t>że strony ina</w:t>
      </w:r>
      <w:r w:rsidR="0023361C">
        <w:rPr>
          <w:rFonts w:ascii="Arial" w:eastAsia="Times New Roman" w:hAnsi="Arial" w:cs="Arial"/>
          <w:color w:val="000000"/>
          <w:szCs w:val="24"/>
          <w:lang w:eastAsia="pl-PL"/>
        </w:rPr>
        <w:t>czej postanowiły;</w:t>
      </w:r>
    </w:p>
    <w:p w:rsidR="00B927BF" w:rsidRDefault="00B927BF" w:rsidP="004416FE">
      <w:pPr>
        <w:shd w:val="clear" w:color="auto" w:fill="FFFFFF"/>
        <w:spacing w:line="276" w:lineRule="auto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       c) </w:t>
      </w:r>
      <w:r w:rsidRPr="00B927BF">
        <w:rPr>
          <w:rFonts w:ascii="Arial" w:eastAsia="Times New Roman" w:hAnsi="Arial" w:cs="Arial"/>
          <w:color w:val="000000"/>
          <w:szCs w:val="24"/>
          <w:lang w:eastAsia="pl-PL"/>
        </w:rPr>
        <w:t xml:space="preserve">przenosi własność na nabywcę z chwilą zaoferowania wydania rzeczy </w:t>
      </w:r>
    </w:p>
    <w:p w:rsidR="00280276" w:rsidRDefault="00280276" w:rsidP="004416FE">
      <w:pPr>
        <w:shd w:val="clear" w:color="auto" w:fill="FFFFFF"/>
        <w:spacing w:line="276" w:lineRule="auto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           </w:t>
      </w:r>
      <w:r w:rsidR="00B927BF" w:rsidRPr="00B927BF">
        <w:rPr>
          <w:rFonts w:ascii="Arial" w:eastAsia="Times New Roman" w:hAnsi="Arial" w:cs="Arial"/>
          <w:color w:val="000000"/>
          <w:szCs w:val="24"/>
          <w:lang w:eastAsia="pl-PL"/>
        </w:rPr>
        <w:t xml:space="preserve">nabywcy, chyba że przepis szczególny stanowi inaczej albo że strony </w:t>
      </w:r>
    </w:p>
    <w:p w:rsidR="00B927BF" w:rsidRPr="00B927BF" w:rsidRDefault="00280276" w:rsidP="004416FE">
      <w:pPr>
        <w:shd w:val="clear" w:color="auto" w:fill="FFFFFF"/>
        <w:spacing w:line="276" w:lineRule="auto"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           </w:t>
      </w:r>
      <w:r w:rsidR="00B927BF" w:rsidRPr="00B927BF">
        <w:rPr>
          <w:rFonts w:ascii="Arial" w:eastAsia="Times New Roman" w:hAnsi="Arial" w:cs="Arial"/>
          <w:color w:val="000000"/>
          <w:szCs w:val="24"/>
          <w:lang w:eastAsia="pl-PL"/>
        </w:rPr>
        <w:t>inaczej postanowiły.</w:t>
      </w:r>
    </w:p>
    <w:p w:rsidR="00D82CF8" w:rsidRPr="00B927BF" w:rsidRDefault="00D82CF8" w:rsidP="004416FE">
      <w:pPr>
        <w:pStyle w:val="Akapitzlist"/>
        <w:spacing w:after="200" w:line="276" w:lineRule="auto"/>
        <w:rPr>
          <w:rFonts w:ascii="Arial" w:hAnsi="Arial" w:cs="Arial"/>
          <w:b/>
          <w:szCs w:val="24"/>
        </w:rPr>
      </w:pPr>
    </w:p>
    <w:p w:rsidR="00D82CF8" w:rsidRPr="00AF3AC0" w:rsidRDefault="00D82CF8" w:rsidP="00AF3AC0">
      <w:pPr>
        <w:spacing w:after="200" w:line="276" w:lineRule="auto"/>
        <w:ind w:left="360"/>
        <w:rPr>
          <w:rFonts w:ascii="Arial" w:hAnsi="Arial" w:cs="Arial"/>
          <w:b/>
          <w:szCs w:val="24"/>
        </w:rPr>
      </w:pPr>
    </w:p>
    <w:p w:rsidR="0009200A" w:rsidRPr="00AF3AC0" w:rsidRDefault="0009200A" w:rsidP="00AF3AC0">
      <w:pPr>
        <w:spacing w:after="200" w:line="276" w:lineRule="auto"/>
        <w:rPr>
          <w:rFonts w:ascii="Arial" w:hAnsi="Arial" w:cs="Arial"/>
          <w:b/>
          <w:szCs w:val="24"/>
        </w:rPr>
      </w:pPr>
    </w:p>
    <w:p w:rsidR="00CC765F" w:rsidRPr="00AF3AC0" w:rsidRDefault="00CC765F" w:rsidP="00AF3AC0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</w:p>
    <w:p w:rsidR="00CC765F" w:rsidRPr="00AF3AC0" w:rsidRDefault="00CC765F" w:rsidP="00AF3AC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Cs w:val="24"/>
        </w:rPr>
      </w:pPr>
    </w:p>
    <w:p w:rsidR="00CC765F" w:rsidRPr="00AF3AC0" w:rsidRDefault="00CC765F" w:rsidP="00AF3AC0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CC765F" w:rsidRPr="00AF3AC0" w:rsidRDefault="00CC765F" w:rsidP="00AF3AC0">
      <w:pPr>
        <w:spacing w:line="276" w:lineRule="auto"/>
        <w:rPr>
          <w:rFonts w:ascii="Arial" w:hAnsi="Arial" w:cs="Arial"/>
          <w:b/>
          <w:color w:val="000000"/>
          <w:szCs w:val="24"/>
        </w:rPr>
      </w:pPr>
    </w:p>
    <w:p w:rsidR="00CC765F" w:rsidRPr="00AF3AC0" w:rsidRDefault="00CC765F" w:rsidP="00AF3AC0">
      <w:pPr>
        <w:spacing w:line="276" w:lineRule="auto"/>
        <w:rPr>
          <w:rFonts w:ascii="Arial" w:hAnsi="Arial" w:cs="Arial"/>
          <w:b/>
          <w:szCs w:val="24"/>
        </w:rPr>
      </w:pPr>
    </w:p>
    <w:p w:rsidR="0009200A" w:rsidRPr="00AF3AC0" w:rsidRDefault="0009200A" w:rsidP="00AF3AC0">
      <w:pPr>
        <w:spacing w:after="200" w:line="276" w:lineRule="auto"/>
        <w:rPr>
          <w:rFonts w:ascii="Arial" w:hAnsi="Arial" w:cs="Arial"/>
          <w:szCs w:val="24"/>
        </w:rPr>
      </w:pPr>
    </w:p>
    <w:p w:rsidR="00437632" w:rsidRDefault="00437632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</w:p>
    <w:p w:rsidR="00B927BF" w:rsidRDefault="00B927BF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</w:p>
    <w:p w:rsidR="00B927BF" w:rsidRDefault="00B927BF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</w:p>
    <w:p w:rsidR="00B927BF" w:rsidRDefault="00B927BF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</w:p>
    <w:p w:rsidR="00B927BF" w:rsidRPr="00AF3AC0" w:rsidRDefault="00B927BF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</w:p>
    <w:sectPr w:rsidR="00B927BF" w:rsidRPr="00AF3AC0" w:rsidSect="00965F69">
      <w:footerReference w:type="default" r:id="rId8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CFD" w:rsidRDefault="00FA1CFD" w:rsidP="00911F3E">
      <w:pPr>
        <w:spacing w:line="240" w:lineRule="auto"/>
      </w:pPr>
      <w:r>
        <w:separator/>
      </w:r>
    </w:p>
  </w:endnote>
  <w:endnote w:type="continuationSeparator" w:id="0">
    <w:p w:rsidR="00FA1CFD" w:rsidRDefault="00FA1CFD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45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91760" w:rsidRDefault="0099176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D53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D53B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CFD" w:rsidRDefault="00FA1CFD" w:rsidP="00911F3E">
      <w:pPr>
        <w:spacing w:line="240" w:lineRule="auto"/>
      </w:pPr>
      <w:r>
        <w:separator/>
      </w:r>
    </w:p>
  </w:footnote>
  <w:footnote w:type="continuationSeparator" w:id="0">
    <w:p w:rsidR="00FA1CFD" w:rsidRDefault="00FA1CFD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EF5"/>
    <w:multiLevelType w:val="hybridMultilevel"/>
    <w:tmpl w:val="09D6CAA0"/>
    <w:lvl w:ilvl="0" w:tplc="6236458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333333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2D5C"/>
    <w:multiLevelType w:val="hybridMultilevel"/>
    <w:tmpl w:val="C04A74B4"/>
    <w:lvl w:ilvl="0" w:tplc="8D08DBE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EF06BB"/>
    <w:multiLevelType w:val="hybridMultilevel"/>
    <w:tmpl w:val="154C611C"/>
    <w:lvl w:ilvl="0" w:tplc="4C34F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DA7FB0"/>
    <w:multiLevelType w:val="hybridMultilevel"/>
    <w:tmpl w:val="DC2C2EDC"/>
    <w:lvl w:ilvl="0" w:tplc="0F766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D640FE"/>
    <w:multiLevelType w:val="hybridMultilevel"/>
    <w:tmpl w:val="120A66C6"/>
    <w:lvl w:ilvl="0" w:tplc="1D4EB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BD5328"/>
    <w:multiLevelType w:val="hybridMultilevel"/>
    <w:tmpl w:val="D6702F2A"/>
    <w:lvl w:ilvl="0" w:tplc="782833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5510B5"/>
    <w:multiLevelType w:val="hybridMultilevel"/>
    <w:tmpl w:val="B6623BCA"/>
    <w:lvl w:ilvl="0" w:tplc="28DA9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1C14AE"/>
    <w:multiLevelType w:val="hybridMultilevel"/>
    <w:tmpl w:val="2C287B12"/>
    <w:lvl w:ilvl="0" w:tplc="87F2EEA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67366"/>
    <w:multiLevelType w:val="hybridMultilevel"/>
    <w:tmpl w:val="04023ACA"/>
    <w:lvl w:ilvl="0" w:tplc="9B94E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E3682E"/>
    <w:multiLevelType w:val="hybridMultilevel"/>
    <w:tmpl w:val="BA0CCF24"/>
    <w:lvl w:ilvl="0" w:tplc="EC02904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4B7100"/>
    <w:multiLevelType w:val="hybridMultilevel"/>
    <w:tmpl w:val="F7F65D72"/>
    <w:lvl w:ilvl="0" w:tplc="9A068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84448D"/>
    <w:multiLevelType w:val="hybridMultilevel"/>
    <w:tmpl w:val="EC6C8224"/>
    <w:lvl w:ilvl="0" w:tplc="04A488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825C95"/>
    <w:multiLevelType w:val="hybridMultilevel"/>
    <w:tmpl w:val="1F740A7E"/>
    <w:lvl w:ilvl="0" w:tplc="318E75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7C6DE1"/>
    <w:multiLevelType w:val="hybridMultilevel"/>
    <w:tmpl w:val="345070EE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CE742F"/>
    <w:multiLevelType w:val="hybridMultilevel"/>
    <w:tmpl w:val="A93834A6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DB16BE"/>
    <w:multiLevelType w:val="hybridMultilevel"/>
    <w:tmpl w:val="B7E2F72A"/>
    <w:lvl w:ilvl="0" w:tplc="98207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696792"/>
    <w:multiLevelType w:val="hybridMultilevel"/>
    <w:tmpl w:val="C8060D4C"/>
    <w:lvl w:ilvl="0" w:tplc="15F8529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097B07"/>
    <w:multiLevelType w:val="hybridMultilevel"/>
    <w:tmpl w:val="10BA28BE"/>
    <w:lvl w:ilvl="0" w:tplc="B5947940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966F97"/>
    <w:multiLevelType w:val="hybridMultilevel"/>
    <w:tmpl w:val="86D0531A"/>
    <w:lvl w:ilvl="0" w:tplc="51A467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8B197A"/>
    <w:multiLevelType w:val="hybridMultilevel"/>
    <w:tmpl w:val="33BC3132"/>
    <w:lvl w:ilvl="0" w:tplc="5DF28D9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F97096"/>
    <w:multiLevelType w:val="hybridMultilevel"/>
    <w:tmpl w:val="5B682ED6"/>
    <w:lvl w:ilvl="0" w:tplc="8BF4A6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D7213E"/>
    <w:multiLevelType w:val="hybridMultilevel"/>
    <w:tmpl w:val="8AA20782"/>
    <w:lvl w:ilvl="0" w:tplc="D8A6D2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E25FC4"/>
    <w:multiLevelType w:val="hybridMultilevel"/>
    <w:tmpl w:val="B9520CA0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47385A"/>
    <w:multiLevelType w:val="hybridMultilevel"/>
    <w:tmpl w:val="C3C84A34"/>
    <w:lvl w:ilvl="0" w:tplc="004CA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77D4677"/>
    <w:multiLevelType w:val="hybridMultilevel"/>
    <w:tmpl w:val="0B6A5BC2"/>
    <w:lvl w:ilvl="0" w:tplc="817E2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7E4D10"/>
    <w:multiLevelType w:val="hybridMultilevel"/>
    <w:tmpl w:val="E556D902"/>
    <w:lvl w:ilvl="0" w:tplc="7162193E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7B1E7FBB"/>
    <w:multiLevelType w:val="hybridMultilevel"/>
    <w:tmpl w:val="ABD0DCBA"/>
    <w:lvl w:ilvl="0" w:tplc="E5184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9"/>
  </w:num>
  <w:num w:numId="3">
    <w:abstractNumId w:val="5"/>
  </w:num>
  <w:num w:numId="4">
    <w:abstractNumId w:val="8"/>
  </w:num>
  <w:num w:numId="5">
    <w:abstractNumId w:val="14"/>
  </w:num>
  <w:num w:numId="6">
    <w:abstractNumId w:val="29"/>
  </w:num>
  <w:num w:numId="7">
    <w:abstractNumId w:val="17"/>
  </w:num>
  <w:num w:numId="8">
    <w:abstractNumId w:val="12"/>
  </w:num>
  <w:num w:numId="9">
    <w:abstractNumId w:val="6"/>
  </w:num>
  <w:num w:numId="10">
    <w:abstractNumId w:val="15"/>
  </w:num>
  <w:num w:numId="11">
    <w:abstractNumId w:val="16"/>
  </w:num>
  <w:num w:numId="12">
    <w:abstractNumId w:val="26"/>
  </w:num>
  <w:num w:numId="13">
    <w:abstractNumId w:val="1"/>
  </w:num>
  <w:num w:numId="14">
    <w:abstractNumId w:val="3"/>
  </w:num>
  <w:num w:numId="15">
    <w:abstractNumId w:val="24"/>
  </w:num>
  <w:num w:numId="16">
    <w:abstractNumId w:val="22"/>
  </w:num>
  <w:num w:numId="17">
    <w:abstractNumId w:val="10"/>
  </w:num>
  <w:num w:numId="18">
    <w:abstractNumId w:val="2"/>
  </w:num>
  <w:num w:numId="19">
    <w:abstractNumId w:val="0"/>
  </w:num>
  <w:num w:numId="20">
    <w:abstractNumId w:val="19"/>
  </w:num>
  <w:num w:numId="21">
    <w:abstractNumId w:val="11"/>
  </w:num>
  <w:num w:numId="22">
    <w:abstractNumId w:val="23"/>
  </w:num>
  <w:num w:numId="23">
    <w:abstractNumId w:val="4"/>
  </w:num>
  <w:num w:numId="24">
    <w:abstractNumId w:val="7"/>
  </w:num>
  <w:num w:numId="25">
    <w:abstractNumId w:val="27"/>
  </w:num>
  <w:num w:numId="26">
    <w:abstractNumId w:val="20"/>
  </w:num>
  <w:num w:numId="27">
    <w:abstractNumId w:val="28"/>
  </w:num>
  <w:num w:numId="28">
    <w:abstractNumId w:val="13"/>
  </w:num>
  <w:num w:numId="29">
    <w:abstractNumId w:val="18"/>
  </w:num>
  <w:num w:numId="30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C12"/>
    <w:rsid w:val="000103C2"/>
    <w:rsid w:val="00024772"/>
    <w:rsid w:val="0002792A"/>
    <w:rsid w:val="00041129"/>
    <w:rsid w:val="0007305A"/>
    <w:rsid w:val="0009200A"/>
    <w:rsid w:val="000A3AB3"/>
    <w:rsid w:val="000A66F0"/>
    <w:rsid w:val="000A7AF0"/>
    <w:rsid w:val="000A7BDD"/>
    <w:rsid w:val="000E2B26"/>
    <w:rsid w:val="000F5815"/>
    <w:rsid w:val="00103D31"/>
    <w:rsid w:val="00105A11"/>
    <w:rsid w:val="0010664B"/>
    <w:rsid w:val="00113685"/>
    <w:rsid w:val="00123DB0"/>
    <w:rsid w:val="00144545"/>
    <w:rsid w:val="001479CA"/>
    <w:rsid w:val="0015403D"/>
    <w:rsid w:val="00156897"/>
    <w:rsid w:val="00161C8A"/>
    <w:rsid w:val="001A28AF"/>
    <w:rsid w:val="001B6285"/>
    <w:rsid w:val="001E6F2A"/>
    <w:rsid w:val="001E7C33"/>
    <w:rsid w:val="00216EC8"/>
    <w:rsid w:val="0023361C"/>
    <w:rsid w:val="00242738"/>
    <w:rsid w:val="00247239"/>
    <w:rsid w:val="00272F83"/>
    <w:rsid w:val="00276A68"/>
    <w:rsid w:val="00280276"/>
    <w:rsid w:val="00287FBF"/>
    <w:rsid w:val="002B4354"/>
    <w:rsid w:val="002B715B"/>
    <w:rsid w:val="002C67FA"/>
    <w:rsid w:val="002E5D8B"/>
    <w:rsid w:val="002F13C7"/>
    <w:rsid w:val="003114BD"/>
    <w:rsid w:val="00327160"/>
    <w:rsid w:val="00337FC7"/>
    <w:rsid w:val="00343F1F"/>
    <w:rsid w:val="003442BA"/>
    <w:rsid w:val="00351DA3"/>
    <w:rsid w:val="0035512D"/>
    <w:rsid w:val="00362686"/>
    <w:rsid w:val="00377DEF"/>
    <w:rsid w:val="00387FF9"/>
    <w:rsid w:val="003A37CC"/>
    <w:rsid w:val="003C6D3A"/>
    <w:rsid w:val="003D2BF8"/>
    <w:rsid w:val="003E6A7E"/>
    <w:rsid w:val="003E7690"/>
    <w:rsid w:val="004249F7"/>
    <w:rsid w:val="004342B4"/>
    <w:rsid w:val="00437632"/>
    <w:rsid w:val="004416FE"/>
    <w:rsid w:val="00446487"/>
    <w:rsid w:val="00447A30"/>
    <w:rsid w:val="00452599"/>
    <w:rsid w:val="00465623"/>
    <w:rsid w:val="00493E09"/>
    <w:rsid w:val="00497F7B"/>
    <w:rsid w:val="004A1BFB"/>
    <w:rsid w:val="004B7B81"/>
    <w:rsid w:val="004C7F4C"/>
    <w:rsid w:val="004D3FF1"/>
    <w:rsid w:val="004D6452"/>
    <w:rsid w:val="004E5DF6"/>
    <w:rsid w:val="004F7E01"/>
    <w:rsid w:val="0050055A"/>
    <w:rsid w:val="005033F7"/>
    <w:rsid w:val="00524D7D"/>
    <w:rsid w:val="00531767"/>
    <w:rsid w:val="005470E0"/>
    <w:rsid w:val="00560391"/>
    <w:rsid w:val="005608FF"/>
    <w:rsid w:val="0059446A"/>
    <w:rsid w:val="005A6D75"/>
    <w:rsid w:val="005B1856"/>
    <w:rsid w:val="005B2225"/>
    <w:rsid w:val="005B4023"/>
    <w:rsid w:val="005C2F24"/>
    <w:rsid w:val="005C62C3"/>
    <w:rsid w:val="005D53BE"/>
    <w:rsid w:val="00602358"/>
    <w:rsid w:val="00612FA9"/>
    <w:rsid w:val="00613E8D"/>
    <w:rsid w:val="006349DF"/>
    <w:rsid w:val="00654FDA"/>
    <w:rsid w:val="006862FF"/>
    <w:rsid w:val="006A35D9"/>
    <w:rsid w:val="006B117D"/>
    <w:rsid w:val="006C1AE8"/>
    <w:rsid w:val="006D7012"/>
    <w:rsid w:val="006E659E"/>
    <w:rsid w:val="0070532A"/>
    <w:rsid w:val="00706661"/>
    <w:rsid w:val="00714545"/>
    <w:rsid w:val="007272EC"/>
    <w:rsid w:val="00733FC7"/>
    <w:rsid w:val="007414B5"/>
    <w:rsid w:val="00755CD6"/>
    <w:rsid w:val="00757A7D"/>
    <w:rsid w:val="0078015B"/>
    <w:rsid w:val="00787A96"/>
    <w:rsid w:val="007927D6"/>
    <w:rsid w:val="00796484"/>
    <w:rsid w:val="007A2D0C"/>
    <w:rsid w:val="007B22C6"/>
    <w:rsid w:val="007E07D1"/>
    <w:rsid w:val="007E354B"/>
    <w:rsid w:val="007F08CF"/>
    <w:rsid w:val="007F22F1"/>
    <w:rsid w:val="00802BE6"/>
    <w:rsid w:val="00816F74"/>
    <w:rsid w:val="00856E9E"/>
    <w:rsid w:val="00870BBB"/>
    <w:rsid w:val="008715BE"/>
    <w:rsid w:val="0087171D"/>
    <w:rsid w:val="00891937"/>
    <w:rsid w:val="00897E46"/>
    <w:rsid w:val="008A1F9E"/>
    <w:rsid w:val="008A6285"/>
    <w:rsid w:val="008D2025"/>
    <w:rsid w:val="008D34B4"/>
    <w:rsid w:val="008D7CF4"/>
    <w:rsid w:val="008F1273"/>
    <w:rsid w:val="008F225A"/>
    <w:rsid w:val="008F4C0F"/>
    <w:rsid w:val="008F5DE7"/>
    <w:rsid w:val="00911F3E"/>
    <w:rsid w:val="00920EFB"/>
    <w:rsid w:val="009418BC"/>
    <w:rsid w:val="00945415"/>
    <w:rsid w:val="00950AC5"/>
    <w:rsid w:val="0095146E"/>
    <w:rsid w:val="00965F69"/>
    <w:rsid w:val="009666D9"/>
    <w:rsid w:val="0097314E"/>
    <w:rsid w:val="00984F29"/>
    <w:rsid w:val="00991760"/>
    <w:rsid w:val="00995CE7"/>
    <w:rsid w:val="009A6AD0"/>
    <w:rsid w:val="009B1FDF"/>
    <w:rsid w:val="009D14ED"/>
    <w:rsid w:val="009D1E7D"/>
    <w:rsid w:val="009D42F1"/>
    <w:rsid w:val="009F26BA"/>
    <w:rsid w:val="009F4190"/>
    <w:rsid w:val="00A00BA9"/>
    <w:rsid w:val="00A01A04"/>
    <w:rsid w:val="00A04447"/>
    <w:rsid w:val="00A248C7"/>
    <w:rsid w:val="00A36813"/>
    <w:rsid w:val="00A50686"/>
    <w:rsid w:val="00A54599"/>
    <w:rsid w:val="00A64007"/>
    <w:rsid w:val="00A74609"/>
    <w:rsid w:val="00A81B7B"/>
    <w:rsid w:val="00A83081"/>
    <w:rsid w:val="00A83474"/>
    <w:rsid w:val="00A84F2C"/>
    <w:rsid w:val="00AA1A8C"/>
    <w:rsid w:val="00AC2B20"/>
    <w:rsid w:val="00AD06C6"/>
    <w:rsid w:val="00AF0241"/>
    <w:rsid w:val="00AF3AC0"/>
    <w:rsid w:val="00AF7635"/>
    <w:rsid w:val="00B06688"/>
    <w:rsid w:val="00B11974"/>
    <w:rsid w:val="00B152A1"/>
    <w:rsid w:val="00B212C7"/>
    <w:rsid w:val="00B26B9A"/>
    <w:rsid w:val="00B401A4"/>
    <w:rsid w:val="00B633C6"/>
    <w:rsid w:val="00B65FA1"/>
    <w:rsid w:val="00B74F16"/>
    <w:rsid w:val="00B8090F"/>
    <w:rsid w:val="00B836A7"/>
    <w:rsid w:val="00B85EA2"/>
    <w:rsid w:val="00B91E05"/>
    <w:rsid w:val="00B927BF"/>
    <w:rsid w:val="00BC71C6"/>
    <w:rsid w:val="00BE14BF"/>
    <w:rsid w:val="00BE21A7"/>
    <w:rsid w:val="00BE375C"/>
    <w:rsid w:val="00C057BC"/>
    <w:rsid w:val="00C328BB"/>
    <w:rsid w:val="00C329DC"/>
    <w:rsid w:val="00C82E0A"/>
    <w:rsid w:val="00C96CFE"/>
    <w:rsid w:val="00C972C7"/>
    <w:rsid w:val="00C9764E"/>
    <w:rsid w:val="00CA4E92"/>
    <w:rsid w:val="00CB26A4"/>
    <w:rsid w:val="00CC765F"/>
    <w:rsid w:val="00CD11F2"/>
    <w:rsid w:val="00CE5789"/>
    <w:rsid w:val="00D036CB"/>
    <w:rsid w:val="00D04196"/>
    <w:rsid w:val="00D05FAA"/>
    <w:rsid w:val="00D064A9"/>
    <w:rsid w:val="00D10E93"/>
    <w:rsid w:val="00D15A32"/>
    <w:rsid w:val="00D246B8"/>
    <w:rsid w:val="00D26D31"/>
    <w:rsid w:val="00D50126"/>
    <w:rsid w:val="00D65253"/>
    <w:rsid w:val="00D668B2"/>
    <w:rsid w:val="00D802D3"/>
    <w:rsid w:val="00D82CF8"/>
    <w:rsid w:val="00D8529E"/>
    <w:rsid w:val="00D9374F"/>
    <w:rsid w:val="00D93E4C"/>
    <w:rsid w:val="00DA3EB1"/>
    <w:rsid w:val="00DB29C8"/>
    <w:rsid w:val="00DB4E4D"/>
    <w:rsid w:val="00DC23BD"/>
    <w:rsid w:val="00E1418E"/>
    <w:rsid w:val="00E30C0F"/>
    <w:rsid w:val="00E4380B"/>
    <w:rsid w:val="00E63822"/>
    <w:rsid w:val="00E6713A"/>
    <w:rsid w:val="00E80F64"/>
    <w:rsid w:val="00E9736D"/>
    <w:rsid w:val="00EA05A6"/>
    <w:rsid w:val="00EC1F20"/>
    <w:rsid w:val="00EC5057"/>
    <w:rsid w:val="00F029B7"/>
    <w:rsid w:val="00F133C1"/>
    <w:rsid w:val="00F22EE5"/>
    <w:rsid w:val="00F23FC0"/>
    <w:rsid w:val="00F43BD1"/>
    <w:rsid w:val="00F57BB6"/>
    <w:rsid w:val="00F66B9A"/>
    <w:rsid w:val="00F670DF"/>
    <w:rsid w:val="00F86221"/>
    <w:rsid w:val="00F86680"/>
    <w:rsid w:val="00FA1CFD"/>
    <w:rsid w:val="00FA6BA5"/>
    <w:rsid w:val="00FB1BA7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E42E6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2427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36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36D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73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F1E82-A77B-4CC6-ABAB-05B51B1F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1771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4</cp:revision>
  <cp:lastPrinted>2025-09-04T08:25:00Z</cp:lastPrinted>
  <dcterms:created xsi:type="dcterms:W3CDTF">2026-07-28T12:14:00Z</dcterms:created>
  <dcterms:modified xsi:type="dcterms:W3CDTF">2026-07-28T12:14:00Z</dcterms:modified>
</cp:coreProperties>
</file>