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4D" w:rsidRPr="00F825C2" w:rsidRDefault="00DB4E4D" w:rsidP="00DB4E4D">
      <w:pPr>
        <w:ind w:left="-142" w:hanging="709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DB4E4D" w:rsidRPr="00F825C2" w:rsidRDefault="006C1AE8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OK.1101.5.2025</w:t>
      </w:r>
    </w:p>
    <w:p w:rsidR="00DB4E4D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Default="00DB4E4D" w:rsidP="003C6D3A">
      <w:pPr>
        <w:spacing w:line="276" w:lineRule="auto"/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TEST</w:t>
      </w:r>
    </w:p>
    <w:p w:rsidR="003C6D3A" w:rsidRPr="003C6D3A" w:rsidRDefault="003C6D3A" w:rsidP="003C6D3A">
      <w:pPr>
        <w:spacing w:line="276" w:lineRule="auto"/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Pr="003C6D3A" w:rsidRDefault="003C6D3A" w:rsidP="003C6D3A">
      <w:pPr>
        <w:tabs>
          <w:tab w:val="num" w:pos="720"/>
        </w:tabs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1. Co do roszczeń objętych wnioskiem o zawezwanie do próby ugodowej - przez czas trwania postępowania pojednawczego bieg przedawnienia: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a) </w:t>
      </w:r>
      <w:r w:rsidRPr="003C6D3A">
        <w:rPr>
          <w:rFonts w:ascii="Arial" w:hAnsi="Arial" w:cs="Arial"/>
          <w:b/>
          <w:bCs/>
          <w:szCs w:val="24"/>
        </w:rPr>
        <w:t>nie rozpoczyna się, a rozpoczęty ulega zawieszeniu;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>przerywa się;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wstrzymuje zakończenie.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 xml:space="preserve">2. Do właściwości sądów okręgowych należą </w:t>
      </w:r>
      <w:r>
        <w:rPr>
          <w:rFonts w:ascii="Arial" w:hAnsi="Arial" w:cs="Arial"/>
          <w:b/>
          <w:szCs w:val="24"/>
        </w:rPr>
        <w:t xml:space="preserve">sprawy </w:t>
      </w:r>
      <w:r w:rsidRPr="00D026E3">
        <w:rPr>
          <w:rFonts w:ascii="Arial" w:hAnsi="Arial" w:cs="Arial"/>
          <w:b/>
          <w:szCs w:val="24"/>
        </w:rPr>
        <w:t>o prawa majątkowe, w których wartość przedmiotu sporu przewyższa sto tysięcy złotych, oprócz spraw</w:t>
      </w:r>
      <w:r w:rsidRPr="003C6D3A">
        <w:rPr>
          <w:rFonts w:ascii="Arial" w:hAnsi="Arial" w:cs="Arial"/>
          <w:b/>
          <w:szCs w:val="24"/>
        </w:rPr>
        <w:t>: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a) </w:t>
      </w:r>
      <w:r w:rsidRPr="003C6D3A">
        <w:rPr>
          <w:rFonts w:ascii="Arial" w:hAnsi="Arial" w:cs="Arial"/>
          <w:b/>
          <w:bCs/>
          <w:szCs w:val="24"/>
        </w:rPr>
        <w:t>rozpoznawanych w elektronicznym postępowaniu upominawczym;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o </w:t>
      </w:r>
      <w:r w:rsidRPr="003C6D3A">
        <w:rPr>
          <w:rFonts w:ascii="Arial" w:hAnsi="Arial" w:cs="Arial"/>
          <w:szCs w:val="24"/>
        </w:rPr>
        <w:t xml:space="preserve">uzgodnienie treści księgi wieczystej z rzeczywistym stanem prawnym; </w:t>
      </w:r>
    </w:p>
    <w:p w:rsidR="00B212C7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o </w:t>
      </w:r>
      <w:r w:rsidRPr="003C6D3A">
        <w:rPr>
          <w:rFonts w:ascii="Arial" w:hAnsi="Arial" w:cs="Arial"/>
          <w:szCs w:val="24"/>
        </w:rPr>
        <w:t xml:space="preserve">ustalenie, że aktualizacja </w:t>
      </w:r>
      <w:r>
        <w:rPr>
          <w:rFonts w:ascii="Arial" w:hAnsi="Arial" w:cs="Arial"/>
          <w:szCs w:val="24"/>
        </w:rPr>
        <w:t>opłaty za użytkowanie wieczyste</w:t>
      </w:r>
      <w:r w:rsidRPr="003C6D3A">
        <w:rPr>
          <w:rFonts w:ascii="Arial" w:hAnsi="Arial" w:cs="Arial"/>
          <w:szCs w:val="24"/>
        </w:rPr>
        <w:t xml:space="preserve"> jest niezasadna albo 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 xml:space="preserve">zasadna w innej wysokości.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3. Można żądać zwrotu świadczenia: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jeżeli świadczenie zostało spełnione, zanim wierzytelność stała się wymagalna;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 xml:space="preserve">jeżeli świadczenie zostało spełnione w celu zadośćuczynienia przedawnionemu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>roszczeniu;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c) </w:t>
      </w:r>
      <w:r w:rsidRPr="003C6D3A">
        <w:rPr>
          <w:rFonts w:ascii="Arial" w:hAnsi="Arial" w:cs="Arial"/>
          <w:b/>
          <w:bCs/>
          <w:szCs w:val="24"/>
        </w:rPr>
        <w:t xml:space="preserve">jeżeli spełniający świadczenie wiedział, że nie był do świadczenia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Pr="003C6D3A">
        <w:rPr>
          <w:rFonts w:ascii="Arial" w:hAnsi="Arial" w:cs="Arial"/>
          <w:b/>
          <w:bCs/>
          <w:szCs w:val="24"/>
        </w:rPr>
        <w:t>zobowiązany, ale spełnienie świadczenia nastąpiło z zastrzeżeniem zwrotu.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4. W zakresie czynności przewodniczącego zarządzenia może również wydawać asystent sędziego, z wyjątkiem: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 xml:space="preserve">zarządzenia o wezwaniu do uiszczenia opłaty sądowej;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 xml:space="preserve">zarządzenia o zwrocie pisma procesowego;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zarządzenia o zobowiązaniu do złożenia odpowiedzi na pozew.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91E05" w:rsidRDefault="00B91E05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91E05" w:rsidRDefault="00B91E05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bCs/>
          <w:szCs w:val="24"/>
        </w:rPr>
        <w:t xml:space="preserve">5. </w:t>
      </w:r>
      <w:r w:rsidRPr="003C6D3A">
        <w:rPr>
          <w:rFonts w:ascii="Arial" w:hAnsi="Arial" w:cs="Arial"/>
          <w:b/>
          <w:szCs w:val="24"/>
        </w:rPr>
        <w:t>Przy zniesieniu współwłasności w  razie rozłożenia dopłat i spłat na raty terminy ich uiszczenia nie mogą łącznie przekraczać: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pięciu lat;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>dziesięciu lat;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dwóch lat.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6. Nie są sprawami gospodarczymi:</w:t>
      </w:r>
    </w:p>
    <w:p w:rsidR="00B212C7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 xml:space="preserve">sprawy z umów o roboty budowlane oraz ze ściśle związanych z procesem 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>budowlanym umów służących wykonaniu robót budowlanych;</w:t>
      </w:r>
    </w:p>
    <w:p w:rsidR="00F23FC0" w:rsidRDefault="00B212C7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>sprawy o wierzytelność nabytą od o</w:t>
      </w:r>
      <w:r>
        <w:rPr>
          <w:rFonts w:ascii="Arial" w:hAnsi="Arial" w:cs="Arial"/>
          <w:b/>
          <w:bCs/>
          <w:szCs w:val="24"/>
        </w:rPr>
        <w:t>soby niebędącej przedsiębiorcą</w:t>
      </w:r>
      <w:r w:rsidRPr="00D026E3">
        <w:rPr>
          <w:rFonts w:ascii="Arial" w:hAnsi="Arial" w:cs="Arial"/>
          <w:b/>
          <w:bCs/>
          <w:szCs w:val="24"/>
        </w:rPr>
        <w:t xml:space="preserve">, chyba </w:t>
      </w:r>
    </w:p>
    <w:p w:rsidR="00F23FC0" w:rsidRDefault="00F23FC0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="00B212C7" w:rsidRPr="00D026E3">
        <w:rPr>
          <w:rFonts w:ascii="Arial" w:hAnsi="Arial" w:cs="Arial"/>
          <w:b/>
          <w:bCs/>
          <w:szCs w:val="24"/>
        </w:rPr>
        <w:t xml:space="preserve">że wierzytelność ta powstała ze stosunku prawnego w zakresie działalności </w:t>
      </w:r>
    </w:p>
    <w:p w:rsidR="00B212C7" w:rsidRPr="003C6D3A" w:rsidRDefault="00F23FC0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="00B212C7" w:rsidRPr="00D026E3">
        <w:rPr>
          <w:rFonts w:ascii="Arial" w:hAnsi="Arial" w:cs="Arial"/>
          <w:b/>
          <w:bCs/>
          <w:szCs w:val="24"/>
        </w:rPr>
        <w:t>gospodarczej prowadzonej przez wszystkie jego strony</w:t>
      </w:r>
      <w:r w:rsidR="00B212C7">
        <w:rPr>
          <w:rFonts w:ascii="Arial" w:hAnsi="Arial" w:cs="Arial"/>
          <w:b/>
          <w:bCs/>
          <w:szCs w:val="24"/>
        </w:rPr>
        <w:t>;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z umów leasingu.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7. Spadkodawca może w testamencie pozbawić zstępnych, małżonka i rodziców zachowku (wydziedziczenie), jeżeli uprawniony do zachowku:</w:t>
      </w:r>
      <w:bookmarkStart w:id="1" w:name="mip74329350"/>
      <w:bookmarkEnd w:id="1"/>
    </w:p>
    <w:p w:rsidR="003C6D3A" w:rsidRDefault="003C6D3A" w:rsidP="003C6D3A">
      <w:pPr>
        <w:tabs>
          <w:tab w:val="left" w:pos="709"/>
          <w:tab w:val="left" w:pos="851"/>
        </w:tabs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a) </w:t>
      </w:r>
      <w:r w:rsidRPr="003C6D3A">
        <w:rPr>
          <w:rFonts w:ascii="Arial" w:hAnsi="Arial" w:cs="Arial"/>
          <w:b/>
          <w:bCs/>
          <w:szCs w:val="24"/>
        </w:rPr>
        <w:t xml:space="preserve">wbrew woli spadkodawcy postępuje uporczywie w sposób sprzeczny z </w:t>
      </w:r>
    </w:p>
    <w:p w:rsidR="003C6D3A" w:rsidRPr="003C6D3A" w:rsidRDefault="003C6D3A" w:rsidP="003C6D3A">
      <w:pPr>
        <w:tabs>
          <w:tab w:val="left" w:pos="709"/>
          <w:tab w:val="left" w:pos="851"/>
        </w:tabs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Pr="003C6D3A">
        <w:rPr>
          <w:rFonts w:ascii="Arial" w:hAnsi="Arial" w:cs="Arial"/>
          <w:b/>
          <w:bCs/>
          <w:szCs w:val="24"/>
        </w:rPr>
        <w:t>zasadami współżycia społecznego;</w:t>
      </w:r>
      <w:bookmarkStart w:id="2" w:name="mip74329351"/>
      <w:bookmarkEnd w:id="2"/>
    </w:p>
    <w:p w:rsidR="003C6D3A" w:rsidRDefault="003C6D3A" w:rsidP="003C6D3A">
      <w:pPr>
        <w:tabs>
          <w:tab w:val="left" w:pos="709"/>
          <w:tab w:val="left" w:pos="851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 xml:space="preserve">dopuścił się względem spadkodawcy albo jednej z najbliższych mu osób </w:t>
      </w:r>
    </w:p>
    <w:p w:rsidR="003C6D3A" w:rsidRPr="003C6D3A" w:rsidRDefault="003C6D3A" w:rsidP="003C6D3A">
      <w:pPr>
        <w:tabs>
          <w:tab w:val="left" w:pos="709"/>
          <w:tab w:val="left" w:pos="851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 xml:space="preserve">umyślnego przestępstwa przeciwko mieniu; </w:t>
      </w:r>
      <w:bookmarkStart w:id="3" w:name="mip74329352"/>
      <w:bookmarkEnd w:id="3"/>
    </w:p>
    <w:p w:rsidR="003C6D3A" w:rsidRPr="003C6D3A" w:rsidRDefault="003C6D3A" w:rsidP="003C6D3A">
      <w:pPr>
        <w:tabs>
          <w:tab w:val="left" w:pos="709"/>
          <w:tab w:val="left" w:pos="851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nie dopełnia względem spadkodawcy obowiązków alimentacyjnych.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8. Niedopuszczalny wniosek o wyłączenie sędziego: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a) </w:t>
      </w:r>
      <w:r w:rsidRPr="003C6D3A">
        <w:rPr>
          <w:rFonts w:ascii="Arial" w:hAnsi="Arial" w:cs="Arial"/>
          <w:b/>
          <w:bCs/>
          <w:szCs w:val="24"/>
        </w:rPr>
        <w:t>pozostawia się w aktach sprawy bez żadnych dalszych czynności;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>odrzuca się;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>umarza się postępowanie w przedmiocie</w:t>
      </w:r>
      <w:r>
        <w:rPr>
          <w:rFonts w:ascii="Arial" w:hAnsi="Arial" w:cs="Arial"/>
          <w:szCs w:val="24"/>
        </w:rPr>
        <w:t xml:space="preserve"> takiego wniosku.</w:t>
      </w:r>
      <w:r w:rsidRPr="003C6D3A">
        <w:rPr>
          <w:rFonts w:ascii="Arial" w:hAnsi="Arial" w:cs="Arial"/>
          <w:szCs w:val="24"/>
        </w:rPr>
        <w:t xml:space="preserve">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9. Postanowienie w przedmiocie ustanowienia adwokata lub radcy prawnego z urzędu: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wydaje tylko sędzia;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>wydaje</w:t>
      </w:r>
      <w:r>
        <w:rPr>
          <w:rFonts w:ascii="Arial" w:hAnsi="Arial" w:cs="Arial"/>
          <w:b/>
          <w:bCs/>
          <w:szCs w:val="24"/>
        </w:rPr>
        <w:t xml:space="preserve"> sędzia albo referendarz sądowy;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wydaje sędzia, a referendarz sądowy tylko wtedy gdy przychyla się do wniosku i 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B212C7">
        <w:rPr>
          <w:rFonts w:ascii="Arial" w:hAnsi="Arial" w:cs="Arial"/>
          <w:szCs w:val="24"/>
        </w:rPr>
        <w:t>ustanawia adwokata lub radcę</w:t>
      </w:r>
      <w:r w:rsidRPr="003C6D3A">
        <w:rPr>
          <w:rFonts w:ascii="Arial" w:hAnsi="Arial" w:cs="Arial"/>
          <w:szCs w:val="24"/>
        </w:rPr>
        <w:t xml:space="preserve"> prawnego z urzędu, w innym przypadku wniosek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>przekazuje sędziemu do rozpoznania.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 w:rsidRPr="003C6D3A">
        <w:rPr>
          <w:rFonts w:ascii="Arial" w:hAnsi="Arial" w:cs="Arial"/>
          <w:b/>
          <w:szCs w:val="24"/>
        </w:rPr>
        <w:t>10. Zażalenie nie przysługuje na: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a) </w:t>
      </w:r>
      <w:r w:rsidRPr="003C6D3A">
        <w:rPr>
          <w:rFonts w:ascii="Arial" w:hAnsi="Arial" w:cs="Arial"/>
          <w:b/>
          <w:bCs/>
          <w:szCs w:val="24"/>
        </w:rPr>
        <w:t>postanowienie w przedmiocie odmowy zawieszenia postępowania;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>postanowienie w przedmiocie odmowy odrzucenia pozwu;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>postanowienie w przedmiocie podjęcia postępowania w innym trybie.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212C7" w:rsidRDefault="00B212C7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212C7" w:rsidRPr="003C6D3A" w:rsidRDefault="00B212C7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 xml:space="preserve">11. </w:t>
      </w:r>
      <w:r>
        <w:rPr>
          <w:rFonts w:ascii="Arial" w:hAnsi="Arial" w:cs="Arial"/>
          <w:b/>
          <w:szCs w:val="24"/>
        </w:rPr>
        <w:t>Niedozwolone</w:t>
      </w:r>
      <w:r w:rsidRPr="003C6D3A">
        <w:rPr>
          <w:rFonts w:ascii="Arial" w:hAnsi="Arial" w:cs="Arial"/>
          <w:b/>
          <w:szCs w:val="24"/>
        </w:rPr>
        <w:t xml:space="preserve"> postanowienie umowy zawieranej z konsumentem: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zostało indywidualnie uzgodnione z konsumentem;</w:t>
      </w:r>
    </w:p>
    <w:p w:rsidR="00B212C7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>dotyczy głównego świadczenia stron umowy</w:t>
      </w:r>
      <w:r>
        <w:rPr>
          <w:rFonts w:ascii="Arial" w:hAnsi="Arial" w:cs="Arial"/>
          <w:szCs w:val="24"/>
        </w:rPr>
        <w:t xml:space="preserve">, </w:t>
      </w:r>
      <w:r w:rsidRPr="008D4C88">
        <w:rPr>
          <w:rFonts w:ascii="Arial" w:hAnsi="Arial" w:cs="Arial"/>
          <w:szCs w:val="24"/>
        </w:rPr>
        <w:t>sformułowane</w:t>
      </w:r>
      <w:r>
        <w:rPr>
          <w:rFonts w:ascii="Arial" w:hAnsi="Arial" w:cs="Arial"/>
          <w:szCs w:val="24"/>
        </w:rPr>
        <w:t>go</w:t>
      </w:r>
      <w:r w:rsidRPr="008D4C88">
        <w:rPr>
          <w:rFonts w:ascii="Arial" w:hAnsi="Arial" w:cs="Arial"/>
          <w:szCs w:val="24"/>
        </w:rPr>
        <w:t xml:space="preserve"> w sposób </w:t>
      </w:r>
      <w:r>
        <w:rPr>
          <w:rFonts w:ascii="Arial" w:hAnsi="Arial" w:cs="Arial"/>
          <w:szCs w:val="24"/>
        </w:rPr>
        <w:t xml:space="preserve"> </w:t>
      </w:r>
    </w:p>
    <w:p w:rsidR="00B212C7" w:rsidRPr="003C6D3A" w:rsidRDefault="00B212C7" w:rsidP="00B212C7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8D4C88">
        <w:rPr>
          <w:rFonts w:ascii="Arial" w:hAnsi="Arial" w:cs="Arial"/>
          <w:szCs w:val="24"/>
        </w:rPr>
        <w:t>jednoznaczny</w:t>
      </w:r>
      <w:r w:rsidRPr="003C6D3A">
        <w:rPr>
          <w:rFonts w:ascii="Arial" w:hAnsi="Arial" w:cs="Arial"/>
          <w:szCs w:val="24"/>
        </w:rPr>
        <w:t>;</w:t>
      </w:r>
    </w:p>
    <w:p w:rsidR="00B212C7" w:rsidRDefault="00B212C7" w:rsidP="00B212C7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c) </w:t>
      </w:r>
      <w:r w:rsidRPr="003C6D3A">
        <w:rPr>
          <w:rFonts w:ascii="Arial" w:hAnsi="Arial" w:cs="Arial"/>
          <w:b/>
          <w:bCs/>
          <w:szCs w:val="24"/>
        </w:rPr>
        <w:t>nie wiąże konsumenta.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lastRenderedPageBreak/>
        <w:t>12. Osoba ubezwłasnowolniona całkowicie:</w:t>
      </w:r>
    </w:p>
    <w:p w:rsidR="003C6D3A" w:rsidRPr="003C6D3A" w:rsidRDefault="003C6D3A" w:rsidP="003C6D3A">
      <w:pPr>
        <w:tabs>
          <w:tab w:val="left" w:pos="284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ma zdolność prawną i ma zdolność do czynności prawnych;</w:t>
      </w:r>
    </w:p>
    <w:p w:rsidR="003C6D3A" w:rsidRPr="003C6D3A" w:rsidRDefault="003C6D3A" w:rsidP="003C6D3A">
      <w:pPr>
        <w:tabs>
          <w:tab w:val="left" w:pos="284"/>
        </w:tabs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>ma zdolność prawną, ale nie ma zdolności do czynności prawnych;</w:t>
      </w:r>
    </w:p>
    <w:p w:rsidR="003C6D3A" w:rsidRPr="003C6D3A" w:rsidRDefault="003C6D3A" w:rsidP="003C6D3A">
      <w:pPr>
        <w:tabs>
          <w:tab w:val="left" w:pos="284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 xml:space="preserve">nie ma zdolności prawnej i nie ma </w:t>
      </w:r>
      <w:r>
        <w:rPr>
          <w:rFonts w:ascii="Arial" w:hAnsi="Arial" w:cs="Arial"/>
          <w:szCs w:val="24"/>
        </w:rPr>
        <w:t>zdolności do czynności prawnych.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13. Sąd umarza postępowanie zawieszone ze względu na niewykonania przez powoda zarządzeń, powodujące, że sprawie nie można nadać dalszego biegu (art. 177 § 1 pkt 6 k.p.c.), jeżeli wniosek o podjęcie postępowania nie został zgłoszony w ciągu trzech miesięcy od: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daty uprawomocnienia się postanowienia o zawieszeniu postępowania;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 xml:space="preserve">daty doręczenia postanowienia </w:t>
      </w:r>
      <w:r w:rsidR="00B212C7">
        <w:rPr>
          <w:rFonts w:ascii="Arial" w:hAnsi="Arial" w:cs="Arial"/>
          <w:szCs w:val="24"/>
        </w:rPr>
        <w:t xml:space="preserve">o zawieszeniu postępowania </w:t>
      </w:r>
      <w:r w:rsidRPr="003C6D3A">
        <w:rPr>
          <w:rFonts w:ascii="Arial" w:hAnsi="Arial" w:cs="Arial"/>
          <w:szCs w:val="24"/>
        </w:rPr>
        <w:t>stronie powodowej;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c) </w:t>
      </w:r>
      <w:r w:rsidRPr="003C6D3A">
        <w:rPr>
          <w:rFonts w:ascii="Arial" w:hAnsi="Arial" w:cs="Arial"/>
          <w:b/>
          <w:bCs/>
          <w:szCs w:val="24"/>
        </w:rPr>
        <w:t>daty postanowienia o zawieszeniu postępowania.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14. Oświadczenie o przyjęciu lub odrzuceniu spadku może być złożone w ciągu</w:t>
      </w:r>
      <w:r w:rsidRPr="003C6D3A">
        <w:rPr>
          <w:rFonts w:ascii="Arial" w:hAnsi="Arial" w:cs="Arial"/>
          <w:b/>
          <w:szCs w:val="24"/>
        </w:rPr>
        <w:br/>
        <w:t>sześciu miesięcy od dnia: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>w którym doszło do otwarcia spadku</w:t>
      </w:r>
      <w:r>
        <w:rPr>
          <w:rFonts w:ascii="Arial" w:hAnsi="Arial" w:cs="Arial"/>
          <w:szCs w:val="24"/>
        </w:rPr>
        <w:t>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b) </w:t>
      </w:r>
      <w:r w:rsidRPr="003C6D3A">
        <w:rPr>
          <w:rFonts w:ascii="Arial" w:hAnsi="Arial" w:cs="Arial"/>
          <w:b/>
          <w:bCs/>
          <w:szCs w:val="24"/>
        </w:rPr>
        <w:t>w którym spadkobierca dowiedział się o tytule swego powołania</w:t>
      </w:r>
      <w:r>
        <w:rPr>
          <w:rFonts w:ascii="Arial" w:hAnsi="Arial" w:cs="Arial"/>
          <w:b/>
          <w:bCs/>
          <w:szCs w:val="24"/>
        </w:rPr>
        <w:t>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c) </w:t>
      </w:r>
      <w:r w:rsidRPr="003C6D3A">
        <w:rPr>
          <w:rFonts w:ascii="Arial" w:hAnsi="Arial" w:cs="Arial"/>
          <w:szCs w:val="24"/>
        </w:rPr>
        <w:t>otwarcia i ogłoszenia testamentu</w:t>
      </w:r>
      <w:r>
        <w:rPr>
          <w:rFonts w:ascii="Arial" w:hAnsi="Arial" w:cs="Arial"/>
          <w:szCs w:val="24"/>
        </w:rPr>
        <w:t>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3C6D3A">
        <w:rPr>
          <w:rFonts w:ascii="Arial" w:hAnsi="Arial" w:cs="Arial"/>
          <w:b/>
          <w:szCs w:val="24"/>
        </w:rPr>
        <w:t>15. Pełnomocnictwo procesowe obejmuje z samego prawa umocowanie do: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Pr="003C6D3A">
        <w:rPr>
          <w:rFonts w:ascii="Arial" w:hAnsi="Arial" w:cs="Arial"/>
          <w:szCs w:val="24"/>
        </w:rPr>
        <w:t xml:space="preserve">złożenia skargi o wznowienie postępowania i postępowania wywołanego jej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>wniesieniem;</w:t>
      </w:r>
    </w:p>
    <w:p w:rsid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Pr="003C6D3A">
        <w:rPr>
          <w:rFonts w:ascii="Arial" w:hAnsi="Arial" w:cs="Arial"/>
          <w:szCs w:val="24"/>
        </w:rPr>
        <w:t xml:space="preserve">uznania powództwa, jeżeli czynność ta nie została wyłączona w danym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Pr="003C6D3A">
        <w:rPr>
          <w:rFonts w:ascii="Arial" w:hAnsi="Arial" w:cs="Arial"/>
          <w:szCs w:val="24"/>
        </w:rPr>
        <w:t>pełnomocnictwie;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c) </w:t>
      </w:r>
      <w:r w:rsidRPr="003C6D3A">
        <w:rPr>
          <w:rFonts w:ascii="Arial" w:hAnsi="Arial" w:cs="Arial"/>
          <w:b/>
          <w:bCs/>
          <w:szCs w:val="24"/>
        </w:rPr>
        <w:t>odpowiedzi a i b są prawidłowe.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BE14BF" w:rsidRDefault="00BE14BF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BE14BF">
        <w:rPr>
          <w:rFonts w:ascii="Arial" w:hAnsi="Arial" w:cs="Arial"/>
          <w:b/>
          <w:szCs w:val="24"/>
        </w:rPr>
        <w:t xml:space="preserve">16. </w:t>
      </w:r>
      <w:r w:rsidR="003C6D3A" w:rsidRPr="00BE14BF">
        <w:rPr>
          <w:rFonts w:ascii="Arial" w:hAnsi="Arial" w:cs="Arial"/>
          <w:b/>
          <w:szCs w:val="24"/>
        </w:rPr>
        <w:t xml:space="preserve">Według Kodeksu cywilnego, roszczenie o zniesienie współwłasności nieruchomości: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 xml:space="preserve">a) przedawnia się z upływem dwudziestu lat od nabycia udziału w nieruchomości;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>b) przedawnia się z upływem czterdziestu lat od nabycia udziału w nieruchomości;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 w:rsidRPr="003C6D3A">
        <w:rPr>
          <w:rFonts w:ascii="Arial" w:hAnsi="Arial" w:cs="Arial"/>
          <w:b/>
          <w:bCs/>
          <w:szCs w:val="24"/>
        </w:rPr>
        <w:t xml:space="preserve">c) w ogóle nie ulega przedawnieniu.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3C6D3A" w:rsidRDefault="00BE14BF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BE14BF">
        <w:rPr>
          <w:rFonts w:ascii="Arial" w:hAnsi="Arial" w:cs="Arial"/>
          <w:b/>
          <w:szCs w:val="24"/>
        </w:rPr>
        <w:t xml:space="preserve">17. </w:t>
      </w:r>
      <w:r w:rsidR="003C6D3A" w:rsidRPr="00BE14BF">
        <w:rPr>
          <w:rFonts w:ascii="Arial" w:hAnsi="Arial" w:cs="Arial"/>
          <w:b/>
          <w:szCs w:val="24"/>
        </w:rPr>
        <w:t>Zgodnie z Kodeksem cywilnym, jeżeli wysokość odsetek wynikających z czynności prawnej przekracza wysokość odsetek maksymalnych, należą się odsetki</w:t>
      </w:r>
      <w:r w:rsidR="003C6D3A" w:rsidRPr="003C6D3A">
        <w:rPr>
          <w:rFonts w:ascii="Arial" w:hAnsi="Arial" w:cs="Arial"/>
          <w:szCs w:val="24"/>
        </w:rPr>
        <w:t xml:space="preserve">: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 w:rsidRPr="003C6D3A">
        <w:rPr>
          <w:rFonts w:ascii="Arial" w:hAnsi="Arial" w:cs="Arial"/>
          <w:b/>
          <w:bCs/>
          <w:szCs w:val="24"/>
        </w:rPr>
        <w:t xml:space="preserve">a) maksymalne;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 xml:space="preserve">b) maksymalne za opóźnienie;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>c) w wysokości wy</w:t>
      </w:r>
      <w:r w:rsidR="00BE14BF">
        <w:rPr>
          <w:rFonts w:ascii="Arial" w:hAnsi="Arial" w:cs="Arial"/>
          <w:szCs w:val="24"/>
        </w:rPr>
        <w:t xml:space="preserve">nikającej z czynności prawnej.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3C6D3A" w:rsidRPr="00BE14BF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 w:rsidRPr="003C6D3A">
        <w:rPr>
          <w:rFonts w:ascii="Arial" w:hAnsi="Arial" w:cs="Arial"/>
          <w:b/>
          <w:bCs/>
          <w:szCs w:val="24"/>
        </w:rPr>
        <w:t xml:space="preserve"> </w:t>
      </w:r>
    </w:p>
    <w:p w:rsidR="003C6D3A" w:rsidRPr="00BE14BF" w:rsidRDefault="00BE14BF" w:rsidP="003C6D3A">
      <w:pPr>
        <w:spacing w:line="276" w:lineRule="auto"/>
        <w:jc w:val="left"/>
        <w:rPr>
          <w:rFonts w:ascii="Arial" w:hAnsi="Arial" w:cs="Arial"/>
          <w:b/>
          <w:szCs w:val="24"/>
        </w:rPr>
      </w:pPr>
      <w:r w:rsidRPr="00BE14BF">
        <w:rPr>
          <w:rFonts w:ascii="Arial" w:hAnsi="Arial" w:cs="Arial"/>
          <w:b/>
          <w:szCs w:val="24"/>
        </w:rPr>
        <w:t xml:space="preserve">18. </w:t>
      </w:r>
      <w:r w:rsidR="003C6D3A" w:rsidRPr="00BE14BF">
        <w:rPr>
          <w:rFonts w:ascii="Arial" w:hAnsi="Arial" w:cs="Arial"/>
          <w:b/>
          <w:szCs w:val="24"/>
        </w:rPr>
        <w:t xml:space="preserve">Zgodnie z Kodeksem cywilnym, zobowiązanie jest solidarne: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  <w:r w:rsidRPr="003C6D3A">
        <w:rPr>
          <w:rFonts w:ascii="Arial" w:hAnsi="Arial" w:cs="Arial"/>
          <w:b/>
          <w:bCs/>
          <w:szCs w:val="24"/>
        </w:rPr>
        <w:t xml:space="preserve">a) jeżeli to wynika z ustawy lub z czynności prawnej; 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 xml:space="preserve">b) tylko wówczas, gdy przepis szczególny tak stanowi; </w:t>
      </w:r>
    </w:p>
    <w:p w:rsidR="00BE14BF" w:rsidRDefault="003C6D3A" w:rsidP="003C6D3A">
      <w:pPr>
        <w:spacing w:line="276" w:lineRule="auto"/>
        <w:jc w:val="left"/>
        <w:rPr>
          <w:rFonts w:ascii="Arial" w:hAnsi="Arial" w:cs="Arial"/>
          <w:szCs w:val="24"/>
        </w:rPr>
      </w:pPr>
      <w:r w:rsidRPr="003C6D3A">
        <w:rPr>
          <w:rFonts w:ascii="Arial" w:hAnsi="Arial" w:cs="Arial"/>
          <w:szCs w:val="24"/>
        </w:rPr>
        <w:t xml:space="preserve">c) tylko wówczas, gdy przepis szczególny na to zezwala, a strony w umowie wyraziły </w:t>
      </w:r>
      <w:r w:rsidR="00BE14BF">
        <w:rPr>
          <w:rFonts w:ascii="Arial" w:hAnsi="Arial" w:cs="Arial"/>
          <w:szCs w:val="24"/>
        </w:rPr>
        <w:t xml:space="preserve"> </w:t>
      </w:r>
    </w:p>
    <w:p w:rsidR="003C6D3A" w:rsidRPr="003C6D3A" w:rsidRDefault="00BE14BF" w:rsidP="003C6D3A">
      <w:pPr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3C6D3A" w:rsidRPr="003C6D3A">
        <w:rPr>
          <w:rFonts w:ascii="Arial" w:hAnsi="Arial" w:cs="Arial"/>
          <w:szCs w:val="24"/>
        </w:rPr>
        <w:t>na to zgodę.</w:t>
      </w:r>
    </w:p>
    <w:p w:rsidR="003C6D3A" w:rsidRPr="003C6D3A" w:rsidRDefault="003C6D3A" w:rsidP="003C6D3A">
      <w:pPr>
        <w:spacing w:line="276" w:lineRule="auto"/>
        <w:jc w:val="left"/>
        <w:rPr>
          <w:rFonts w:ascii="Arial" w:hAnsi="Arial" w:cs="Arial"/>
          <w:b/>
          <w:bCs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lastRenderedPageBreak/>
        <w:t xml:space="preserve">19. </w:t>
      </w:r>
      <w:r w:rsidR="00D93E4C" w:rsidRPr="00D93E4C">
        <w:rPr>
          <w:rFonts w:ascii="Arial" w:eastAsia="Calibri" w:hAnsi="Arial" w:cs="Arial"/>
          <w:b/>
          <w:szCs w:val="24"/>
        </w:rPr>
        <w:t>Czy w przypadku skazania na karę dwóch lat pozbawienia wolności, istnieje możliwości warunkowego zawieszenia jej wykonania?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t</w:t>
      </w:r>
      <w:r w:rsidR="00D93E4C" w:rsidRPr="00D93E4C">
        <w:rPr>
          <w:rFonts w:ascii="Arial" w:eastAsia="Calibri" w:hAnsi="Arial" w:cs="Arial"/>
          <w:b/>
          <w:szCs w:val="24"/>
        </w:rPr>
        <w:t xml:space="preserve">ak, jest to możliwe ale w przypadku przestępstwa popełnionego przed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D93E4C" w:rsidRPr="00D93E4C">
        <w:rPr>
          <w:rFonts w:ascii="Arial" w:eastAsia="Calibri" w:hAnsi="Arial" w:cs="Arial"/>
          <w:b/>
          <w:szCs w:val="24"/>
        </w:rPr>
        <w:t>dniem 1.07.2015r.</w:t>
      </w:r>
      <w:r>
        <w:rPr>
          <w:rFonts w:ascii="Arial" w:eastAsia="Calibri" w:hAnsi="Arial" w:cs="Arial"/>
          <w:b/>
          <w:szCs w:val="24"/>
        </w:rPr>
        <w:t>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t</w:t>
      </w:r>
      <w:r w:rsidR="00D93E4C" w:rsidRPr="00D93E4C">
        <w:rPr>
          <w:rFonts w:ascii="Arial" w:eastAsia="Calibri" w:hAnsi="Arial" w:cs="Arial"/>
          <w:szCs w:val="24"/>
        </w:rPr>
        <w:t xml:space="preserve">ak, ale tylko w sytuacji, gdy jest to kara łączna, a kary jednostkowe nie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przekraczają 1 roku pozbawienia wolności;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w </w:t>
      </w:r>
      <w:r w:rsidR="00D93E4C" w:rsidRPr="00D93E4C">
        <w:rPr>
          <w:rFonts w:ascii="Arial" w:eastAsia="Calibri" w:hAnsi="Arial" w:cs="Arial"/>
          <w:szCs w:val="24"/>
        </w:rPr>
        <w:t xml:space="preserve">tej sytuacji nie ma </w:t>
      </w:r>
      <w:r w:rsidR="00757A7D">
        <w:rPr>
          <w:rFonts w:ascii="Arial" w:eastAsia="Calibri" w:hAnsi="Arial" w:cs="Arial"/>
          <w:szCs w:val="24"/>
        </w:rPr>
        <w:t>żadnej możliwości warunkowego zaw</w:t>
      </w:r>
      <w:r w:rsidR="00D93E4C" w:rsidRPr="00D93E4C">
        <w:rPr>
          <w:rFonts w:ascii="Arial" w:eastAsia="Calibri" w:hAnsi="Arial" w:cs="Arial"/>
          <w:szCs w:val="24"/>
        </w:rPr>
        <w:t xml:space="preserve">ieszenia wykonania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orzec</w:t>
      </w:r>
      <w:r>
        <w:rPr>
          <w:rFonts w:ascii="Arial" w:eastAsia="Calibri" w:hAnsi="Arial" w:cs="Arial"/>
          <w:szCs w:val="24"/>
        </w:rPr>
        <w:t>zonej kary pozbawienia wolności.</w:t>
      </w:r>
    </w:p>
    <w:p w:rsidR="00D93E4C" w:rsidRPr="00D93E4C" w:rsidRDefault="00D93E4C" w:rsidP="00D93E4C">
      <w:pPr>
        <w:spacing w:after="200"/>
        <w:ind w:left="1080"/>
        <w:contextualSpacing/>
        <w:jc w:val="left"/>
        <w:rPr>
          <w:rFonts w:ascii="Arial" w:eastAsia="Calibri" w:hAnsi="Arial" w:cs="Arial"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20. </w:t>
      </w:r>
      <w:r w:rsidR="00D93E4C" w:rsidRPr="00D93E4C">
        <w:rPr>
          <w:rFonts w:ascii="Arial" w:eastAsia="Calibri" w:hAnsi="Arial" w:cs="Arial"/>
          <w:b/>
          <w:szCs w:val="24"/>
        </w:rPr>
        <w:t xml:space="preserve">Zbrodnią, w rozumieniu kodeksu karnego, jest: 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k</w:t>
      </w:r>
      <w:r w:rsidR="00D93E4C" w:rsidRPr="00D93E4C">
        <w:rPr>
          <w:rFonts w:ascii="Arial" w:eastAsia="Calibri" w:hAnsi="Arial" w:cs="Arial"/>
          <w:b/>
          <w:szCs w:val="24"/>
        </w:rPr>
        <w:t xml:space="preserve">ażdy czyn zagrożony karą pozbawienia wolności w wymiarze nie krótszym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D93E4C" w:rsidRPr="00D93E4C">
        <w:rPr>
          <w:rFonts w:ascii="Arial" w:eastAsia="Calibri" w:hAnsi="Arial" w:cs="Arial"/>
          <w:b/>
          <w:szCs w:val="24"/>
        </w:rPr>
        <w:t>niż 3 lata;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k</w:t>
      </w:r>
      <w:r w:rsidR="00D93E4C" w:rsidRPr="00D93E4C">
        <w:rPr>
          <w:rFonts w:ascii="Arial" w:eastAsia="Calibri" w:hAnsi="Arial" w:cs="Arial"/>
          <w:szCs w:val="24"/>
        </w:rPr>
        <w:t xml:space="preserve">ażdy czyn zagrożony karą pozbawienia wolności w wymiarze nie krótszym niż 1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D93E4C" w:rsidRPr="00D93E4C">
        <w:rPr>
          <w:rFonts w:ascii="Arial" w:eastAsia="Calibri" w:hAnsi="Arial" w:cs="Arial"/>
          <w:szCs w:val="24"/>
        </w:rPr>
        <w:t>rok;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k</w:t>
      </w:r>
      <w:r w:rsidR="00D93E4C" w:rsidRPr="00D93E4C">
        <w:rPr>
          <w:rFonts w:ascii="Arial" w:eastAsia="Calibri" w:hAnsi="Arial" w:cs="Arial"/>
          <w:szCs w:val="24"/>
        </w:rPr>
        <w:t>ażdy czyn popełniony z motywacji zasług</w:t>
      </w:r>
      <w:r>
        <w:rPr>
          <w:rFonts w:ascii="Arial" w:eastAsia="Calibri" w:hAnsi="Arial" w:cs="Arial"/>
          <w:szCs w:val="24"/>
        </w:rPr>
        <w:t>ującej na szczególne potępienie.</w:t>
      </w:r>
    </w:p>
    <w:p w:rsidR="00D93E4C" w:rsidRPr="00D93E4C" w:rsidRDefault="00D93E4C" w:rsidP="00D93E4C">
      <w:pPr>
        <w:spacing w:after="200"/>
        <w:ind w:left="1080"/>
        <w:contextualSpacing/>
        <w:jc w:val="left"/>
        <w:rPr>
          <w:rFonts w:ascii="Arial" w:eastAsia="Calibri" w:hAnsi="Arial" w:cs="Arial"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21. </w:t>
      </w:r>
      <w:r w:rsidR="00D93E4C" w:rsidRPr="00D93E4C">
        <w:rPr>
          <w:rFonts w:ascii="Arial" w:eastAsia="Calibri" w:hAnsi="Arial" w:cs="Arial"/>
          <w:b/>
          <w:szCs w:val="24"/>
        </w:rPr>
        <w:t>Jeżeli czyn wyczerpuje znamiona przestępstw określonych w dwóch albo więcej przepisów ustawy karnej, wymierzana jest kara na podstawie: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93E4C" w:rsidRPr="00D93E4C">
        <w:rPr>
          <w:rFonts w:ascii="Arial" w:eastAsia="Calibri" w:hAnsi="Arial" w:cs="Arial"/>
          <w:szCs w:val="24"/>
        </w:rPr>
        <w:t>wszystkich zbiegających się przepisów;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93E4C" w:rsidRPr="00D93E4C">
        <w:rPr>
          <w:rFonts w:ascii="Arial" w:eastAsia="Calibri" w:hAnsi="Arial" w:cs="Arial"/>
          <w:szCs w:val="24"/>
        </w:rPr>
        <w:t>przepisu, który został najwcześniej przytoczony w zarzucie;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c) </w:t>
      </w:r>
      <w:r w:rsidR="00D93E4C" w:rsidRPr="00D93E4C">
        <w:rPr>
          <w:rFonts w:ascii="Arial" w:eastAsia="Calibri" w:hAnsi="Arial" w:cs="Arial"/>
          <w:b/>
          <w:szCs w:val="24"/>
        </w:rPr>
        <w:t>przepisu, kt</w:t>
      </w:r>
      <w:r>
        <w:rPr>
          <w:rFonts w:ascii="Arial" w:eastAsia="Calibri" w:hAnsi="Arial" w:cs="Arial"/>
          <w:b/>
          <w:szCs w:val="24"/>
        </w:rPr>
        <w:t>óry przewiduje najsurowszą karę.</w:t>
      </w:r>
    </w:p>
    <w:p w:rsidR="00D93E4C" w:rsidRPr="00D93E4C" w:rsidRDefault="00D93E4C" w:rsidP="00D93E4C">
      <w:pPr>
        <w:spacing w:after="200"/>
        <w:contextualSpacing/>
        <w:jc w:val="left"/>
        <w:rPr>
          <w:rFonts w:ascii="Arial" w:eastAsia="Calibri" w:hAnsi="Arial" w:cs="Arial"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22. </w:t>
      </w:r>
      <w:r w:rsidR="00D93E4C" w:rsidRPr="00D93E4C">
        <w:rPr>
          <w:rFonts w:ascii="Arial" w:eastAsia="Calibri" w:hAnsi="Arial" w:cs="Arial"/>
          <w:b/>
          <w:szCs w:val="24"/>
        </w:rPr>
        <w:t>Przygotowanie do popełnienia przestępstwa jest: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z</w:t>
      </w:r>
      <w:r w:rsidR="00D93E4C" w:rsidRPr="00D93E4C">
        <w:rPr>
          <w:rFonts w:ascii="Arial" w:eastAsia="Calibri" w:hAnsi="Arial" w:cs="Arial"/>
          <w:szCs w:val="24"/>
        </w:rPr>
        <w:t>awsze karane;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 w:rsidRPr="00DB29C8">
        <w:rPr>
          <w:rFonts w:ascii="Arial" w:eastAsia="Calibri" w:hAnsi="Arial" w:cs="Arial"/>
          <w:b/>
          <w:szCs w:val="24"/>
        </w:rPr>
        <w:t>b)</w:t>
      </w:r>
      <w:r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b/>
          <w:szCs w:val="24"/>
        </w:rPr>
        <w:t>k</w:t>
      </w:r>
      <w:r w:rsidR="00D93E4C" w:rsidRPr="00D93E4C">
        <w:rPr>
          <w:rFonts w:ascii="Arial" w:eastAsia="Calibri" w:hAnsi="Arial" w:cs="Arial"/>
          <w:b/>
          <w:szCs w:val="24"/>
        </w:rPr>
        <w:t>arane jedynie wówczas gdy ustawa karna tak stanowi;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k</w:t>
      </w:r>
      <w:r w:rsidR="00D93E4C" w:rsidRPr="00D93E4C">
        <w:rPr>
          <w:rFonts w:ascii="Arial" w:eastAsia="Calibri" w:hAnsi="Arial" w:cs="Arial"/>
          <w:szCs w:val="24"/>
        </w:rPr>
        <w:t xml:space="preserve">aralność przygotowania jest uzależniona od tego czy sprawca przed podjęciem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przygotowania był w</w:t>
      </w:r>
      <w:r>
        <w:rPr>
          <w:rFonts w:ascii="Arial" w:eastAsia="Calibri" w:hAnsi="Arial" w:cs="Arial"/>
          <w:szCs w:val="24"/>
        </w:rPr>
        <w:t>cześniej karany za przestępstwo.</w:t>
      </w:r>
    </w:p>
    <w:p w:rsidR="00D93E4C" w:rsidRPr="00D93E4C" w:rsidRDefault="00D93E4C" w:rsidP="00D93E4C">
      <w:pPr>
        <w:spacing w:after="200"/>
        <w:contextualSpacing/>
        <w:rPr>
          <w:rFonts w:ascii="Arial" w:eastAsia="Calibri" w:hAnsi="Arial" w:cs="Arial"/>
          <w:b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23. </w:t>
      </w:r>
      <w:r w:rsidR="00D93E4C" w:rsidRPr="00D93E4C">
        <w:rPr>
          <w:rFonts w:ascii="Arial" w:eastAsia="Calibri" w:hAnsi="Arial" w:cs="Arial"/>
          <w:b/>
          <w:szCs w:val="24"/>
        </w:rPr>
        <w:t>Przy zaliczeniu okresu zatrzymania lub tymczasowego aresztowania  na poczet orzeczonej kary grzywny, jeden dzień zatrzymania lub aresztowania jest równoważny: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j</w:t>
      </w:r>
      <w:r w:rsidR="00D93E4C" w:rsidRPr="00D93E4C">
        <w:rPr>
          <w:rFonts w:ascii="Arial" w:eastAsia="Calibri" w:hAnsi="Arial" w:cs="Arial"/>
          <w:szCs w:val="24"/>
        </w:rPr>
        <w:t>ednej stawce kary grzywny;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>b) d</w:t>
      </w:r>
      <w:r w:rsidR="00D93E4C" w:rsidRPr="00D93E4C">
        <w:rPr>
          <w:rFonts w:ascii="Arial" w:eastAsia="Calibri" w:hAnsi="Arial" w:cs="Arial"/>
          <w:b/>
          <w:szCs w:val="24"/>
        </w:rPr>
        <w:t>wóch stawkom kary grzywny</w:t>
      </w:r>
      <w:r w:rsidR="00D93E4C" w:rsidRPr="00D93E4C">
        <w:rPr>
          <w:rFonts w:ascii="Arial" w:eastAsia="Calibri" w:hAnsi="Arial" w:cs="Arial"/>
          <w:szCs w:val="24"/>
        </w:rPr>
        <w:t>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u</w:t>
      </w:r>
      <w:r w:rsidR="00D93E4C" w:rsidRPr="00D93E4C">
        <w:rPr>
          <w:rFonts w:ascii="Arial" w:eastAsia="Calibri" w:hAnsi="Arial" w:cs="Arial"/>
          <w:szCs w:val="24"/>
        </w:rPr>
        <w:t xml:space="preserve">stawa nie przewiduje możliwości zaliczenia okresu zatrzymania lub 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tymczasowego aresztowania n</w:t>
      </w:r>
      <w:r>
        <w:rPr>
          <w:rFonts w:ascii="Arial" w:eastAsia="Calibri" w:hAnsi="Arial" w:cs="Arial"/>
          <w:szCs w:val="24"/>
        </w:rPr>
        <w:t>a poczet orzekanej kary grzywny.</w:t>
      </w:r>
    </w:p>
    <w:p w:rsidR="00D93E4C" w:rsidRPr="00D93E4C" w:rsidRDefault="00D93E4C" w:rsidP="00714545">
      <w:pPr>
        <w:spacing w:after="200"/>
        <w:contextualSpacing/>
        <w:rPr>
          <w:rFonts w:ascii="Arial" w:eastAsia="Calibri" w:hAnsi="Arial" w:cs="Arial"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24. </w:t>
      </w:r>
      <w:r w:rsidR="00D93E4C" w:rsidRPr="00D93E4C">
        <w:rPr>
          <w:rFonts w:ascii="Arial" w:eastAsia="Calibri" w:hAnsi="Arial" w:cs="Arial"/>
          <w:b/>
          <w:szCs w:val="24"/>
        </w:rPr>
        <w:t>Pomocnictwo do popełnienia przestępstwa jest: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z</w:t>
      </w:r>
      <w:r w:rsidR="00D93E4C" w:rsidRPr="00D93E4C">
        <w:rPr>
          <w:rFonts w:ascii="Arial" w:eastAsia="Calibri" w:hAnsi="Arial" w:cs="Arial"/>
          <w:b/>
          <w:szCs w:val="24"/>
        </w:rPr>
        <w:t>awsze karane;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>b) k</w:t>
      </w:r>
      <w:r w:rsidR="00D93E4C" w:rsidRPr="00D93E4C">
        <w:rPr>
          <w:rFonts w:ascii="Arial" w:eastAsia="Calibri" w:hAnsi="Arial" w:cs="Arial"/>
          <w:szCs w:val="24"/>
        </w:rPr>
        <w:t>arane jedynie wówczas gdy ustawa karna tak stanowi;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k</w:t>
      </w:r>
      <w:r w:rsidR="00D93E4C" w:rsidRPr="00D93E4C">
        <w:rPr>
          <w:rFonts w:ascii="Arial" w:eastAsia="Calibri" w:hAnsi="Arial" w:cs="Arial"/>
          <w:szCs w:val="24"/>
        </w:rPr>
        <w:t xml:space="preserve">aralność pomocnictwa jest uzależniona od tego czy sprawca przed podjęciem </w:t>
      </w:r>
    </w:p>
    <w:p w:rsidR="00714545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 xml:space="preserve">działań zmierzających do ułatwienia popełnienia przestępstwa był  karany za </w:t>
      </w:r>
    </w:p>
    <w:p w:rsid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przestępstwo.</w:t>
      </w:r>
    </w:p>
    <w:p w:rsidR="00714545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714545">
        <w:rPr>
          <w:rFonts w:ascii="Arial" w:eastAsia="Calibri" w:hAnsi="Arial" w:cs="Arial"/>
          <w:b/>
          <w:szCs w:val="24"/>
        </w:rPr>
        <w:t xml:space="preserve">25. </w:t>
      </w:r>
      <w:r w:rsidR="00D93E4C" w:rsidRPr="00D93E4C">
        <w:rPr>
          <w:rFonts w:ascii="Arial" w:eastAsia="Calibri" w:hAnsi="Arial" w:cs="Arial"/>
          <w:b/>
          <w:szCs w:val="24"/>
        </w:rPr>
        <w:t>Warunkowe umorzenie postępowania karnego może być zastosowane wobec sprawcy przestępstwa zagrożonego maksymalnie:</w:t>
      </w:r>
    </w:p>
    <w:p w:rsidR="00D93E4C" w:rsidRPr="00D93E4C" w:rsidRDefault="00714545" w:rsidP="00714545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k</w:t>
      </w:r>
      <w:r w:rsidR="00D93E4C" w:rsidRPr="00D93E4C">
        <w:rPr>
          <w:rFonts w:ascii="Arial" w:eastAsia="Calibri" w:hAnsi="Arial" w:cs="Arial"/>
          <w:szCs w:val="24"/>
        </w:rPr>
        <w:t>arą do dwóch lat pozbawienia wolności;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k</w:t>
      </w:r>
      <w:r w:rsidR="00D93E4C" w:rsidRPr="00D93E4C">
        <w:rPr>
          <w:rFonts w:ascii="Arial" w:eastAsia="Calibri" w:hAnsi="Arial" w:cs="Arial"/>
          <w:szCs w:val="24"/>
        </w:rPr>
        <w:t>arą do trzech lat pozbawienia wolności;</w:t>
      </w:r>
    </w:p>
    <w:p w:rsid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c) k</w:t>
      </w:r>
      <w:r w:rsidR="00D93E4C" w:rsidRPr="00D93E4C">
        <w:rPr>
          <w:rFonts w:ascii="Arial" w:eastAsia="Calibri" w:hAnsi="Arial" w:cs="Arial"/>
          <w:b/>
          <w:szCs w:val="24"/>
        </w:rPr>
        <w:t xml:space="preserve">arą do </w:t>
      </w:r>
      <w:r>
        <w:rPr>
          <w:rFonts w:ascii="Arial" w:eastAsia="Calibri" w:hAnsi="Arial" w:cs="Arial"/>
          <w:b/>
          <w:szCs w:val="24"/>
        </w:rPr>
        <w:t>pięciu lat pozbawienia wolności.</w:t>
      </w:r>
    </w:p>
    <w:p w:rsidR="009F26BA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</w:p>
    <w:p w:rsidR="00D93E4C" w:rsidRPr="00D93E4C" w:rsidRDefault="00D93E4C" w:rsidP="00D93E4C">
      <w:pPr>
        <w:spacing w:after="200"/>
        <w:ind w:left="1080"/>
        <w:contextualSpacing/>
        <w:rPr>
          <w:rFonts w:ascii="Arial" w:eastAsia="Calibri" w:hAnsi="Arial" w:cs="Arial"/>
          <w:b/>
          <w:szCs w:val="24"/>
        </w:rPr>
      </w:pP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F26BA">
        <w:rPr>
          <w:rFonts w:ascii="Arial" w:eastAsia="Calibri" w:hAnsi="Arial" w:cs="Arial"/>
          <w:b/>
          <w:szCs w:val="24"/>
        </w:rPr>
        <w:lastRenderedPageBreak/>
        <w:t xml:space="preserve">26. </w:t>
      </w:r>
      <w:r w:rsidR="00D93E4C" w:rsidRPr="00D93E4C">
        <w:rPr>
          <w:rFonts w:ascii="Arial" w:eastAsia="Calibri" w:hAnsi="Arial" w:cs="Arial"/>
          <w:b/>
          <w:szCs w:val="24"/>
        </w:rPr>
        <w:t>Karą łączną orzekaną w wyroku łącznym można połączyć: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t</w:t>
      </w:r>
      <w:r w:rsidR="00D93E4C" w:rsidRPr="00D93E4C">
        <w:rPr>
          <w:rFonts w:ascii="Arial" w:eastAsia="Calibri" w:hAnsi="Arial" w:cs="Arial"/>
          <w:b/>
          <w:szCs w:val="24"/>
        </w:rPr>
        <w:t>ylko kary orzeczone przez sądy polskie;</w:t>
      </w:r>
    </w:p>
    <w:p w:rsidR="009F26BA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k</w:t>
      </w:r>
      <w:r w:rsidR="00D93E4C" w:rsidRPr="00D93E4C">
        <w:rPr>
          <w:rFonts w:ascii="Arial" w:eastAsia="Calibri" w:hAnsi="Arial" w:cs="Arial"/>
          <w:szCs w:val="24"/>
        </w:rPr>
        <w:t xml:space="preserve">ary orzeczone przez sądy polskie oraz kary orzeczone przez sądy państw Unii 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Europejskiej;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w</w:t>
      </w:r>
      <w:r w:rsidR="00D93E4C" w:rsidRPr="00D93E4C">
        <w:rPr>
          <w:rFonts w:ascii="Arial" w:eastAsia="Calibri" w:hAnsi="Arial" w:cs="Arial"/>
          <w:szCs w:val="24"/>
        </w:rPr>
        <w:t>szystkie kary; niezależnie czy orzeczone przez polskie czy zagraniczne sądy.</w:t>
      </w:r>
    </w:p>
    <w:p w:rsidR="0097314E" w:rsidRPr="00D93E4C" w:rsidRDefault="0097314E" w:rsidP="00387FF9">
      <w:pPr>
        <w:spacing w:after="200"/>
        <w:contextualSpacing/>
        <w:rPr>
          <w:rFonts w:ascii="Arial" w:eastAsia="Calibri" w:hAnsi="Arial" w:cs="Arial"/>
          <w:szCs w:val="24"/>
        </w:rPr>
      </w:pP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F26BA">
        <w:rPr>
          <w:rFonts w:ascii="Arial" w:eastAsia="Calibri" w:hAnsi="Arial" w:cs="Arial"/>
          <w:b/>
          <w:szCs w:val="24"/>
        </w:rPr>
        <w:t xml:space="preserve">27. </w:t>
      </w:r>
      <w:r w:rsidR="00D93E4C" w:rsidRPr="00D93E4C">
        <w:rPr>
          <w:rFonts w:ascii="Arial" w:eastAsia="Calibri" w:hAnsi="Arial" w:cs="Arial"/>
          <w:b/>
          <w:szCs w:val="24"/>
        </w:rPr>
        <w:t>W postępowaniu karnym oskarżony może korzystać z pomocy obrońcy. Czy przepi</w:t>
      </w:r>
      <w:r w:rsidR="00757A7D">
        <w:rPr>
          <w:rFonts w:ascii="Arial" w:eastAsia="Calibri" w:hAnsi="Arial" w:cs="Arial"/>
          <w:b/>
          <w:szCs w:val="24"/>
        </w:rPr>
        <w:t>sy kodeksu postę</w:t>
      </w:r>
      <w:r w:rsidR="00D93E4C" w:rsidRPr="00D93E4C">
        <w:rPr>
          <w:rFonts w:ascii="Arial" w:eastAsia="Calibri" w:hAnsi="Arial" w:cs="Arial"/>
          <w:b/>
          <w:szCs w:val="24"/>
        </w:rPr>
        <w:t>powania karnego ograniczają ilość obrońców, która w jednym czasie może bronić oskarżonego?</w:t>
      </w:r>
    </w:p>
    <w:p w:rsidR="009F26BA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n</w:t>
      </w:r>
      <w:r w:rsidR="00D93E4C" w:rsidRPr="00D93E4C">
        <w:rPr>
          <w:rFonts w:ascii="Arial" w:eastAsia="Calibri" w:hAnsi="Arial" w:cs="Arial"/>
          <w:szCs w:val="24"/>
        </w:rPr>
        <w:t xml:space="preserve">ie, ilość obrońców z wyboru jaka może bronić oskarżonego w danym momencie 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nie jest w żaden sposób reglamentowania przez prawo;</w:t>
      </w:r>
    </w:p>
    <w:p w:rsidR="009F26BA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t</w:t>
      </w:r>
      <w:r w:rsidR="00D93E4C" w:rsidRPr="00D93E4C">
        <w:rPr>
          <w:rFonts w:ascii="Arial" w:eastAsia="Calibri" w:hAnsi="Arial" w:cs="Arial"/>
          <w:szCs w:val="24"/>
        </w:rPr>
        <w:t xml:space="preserve">ak, oskarżony w postępowaniu karnym jednocześnie może korzystać z pomocy 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tylko jednego obrońcy;</w:t>
      </w:r>
    </w:p>
    <w:p w:rsidR="009F26BA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c) t</w:t>
      </w:r>
      <w:r w:rsidR="00D93E4C" w:rsidRPr="00D93E4C">
        <w:rPr>
          <w:rFonts w:ascii="Arial" w:eastAsia="Calibri" w:hAnsi="Arial" w:cs="Arial"/>
          <w:b/>
          <w:szCs w:val="24"/>
        </w:rPr>
        <w:t xml:space="preserve">ak, oskarżony w postępowaniu karnym jednocześnie może korzystać z 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pomocy tylko trzech  obrońców.</w:t>
      </w:r>
    </w:p>
    <w:p w:rsidR="0097314E" w:rsidRPr="00D93E4C" w:rsidRDefault="0097314E" w:rsidP="0097314E">
      <w:pPr>
        <w:spacing w:after="200"/>
        <w:contextualSpacing/>
        <w:rPr>
          <w:rFonts w:ascii="Arial" w:eastAsia="Calibri" w:hAnsi="Arial" w:cs="Arial"/>
          <w:szCs w:val="24"/>
        </w:rPr>
      </w:pP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F26BA">
        <w:rPr>
          <w:rFonts w:ascii="Arial" w:eastAsia="Calibri" w:hAnsi="Arial" w:cs="Arial"/>
          <w:b/>
          <w:szCs w:val="24"/>
        </w:rPr>
        <w:t xml:space="preserve">28. </w:t>
      </w:r>
      <w:r w:rsidR="00D93E4C" w:rsidRPr="00D93E4C">
        <w:rPr>
          <w:rFonts w:ascii="Arial" w:eastAsia="Calibri" w:hAnsi="Arial" w:cs="Arial"/>
          <w:b/>
          <w:szCs w:val="24"/>
        </w:rPr>
        <w:t>Który ze składów sądzących nie występuje w sprawach karnych rozpoznawanych przez sąd rejonowy: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s</w:t>
      </w:r>
      <w:r w:rsidR="00D93E4C" w:rsidRPr="00D93E4C">
        <w:rPr>
          <w:rFonts w:ascii="Arial" w:eastAsia="Calibri" w:hAnsi="Arial" w:cs="Arial"/>
          <w:szCs w:val="24"/>
        </w:rPr>
        <w:t>kład jednoosobowy;</w:t>
      </w:r>
    </w:p>
    <w:p w:rsidR="009F26BA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b) s</w:t>
      </w:r>
      <w:r w:rsidR="00D93E4C" w:rsidRPr="00D93E4C">
        <w:rPr>
          <w:rFonts w:ascii="Arial" w:eastAsia="Calibri" w:hAnsi="Arial" w:cs="Arial"/>
          <w:b/>
          <w:szCs w:val="24"/>
        </w:rPr>
        <w:t xml:space="preserve">kład trzyosobowy - składający się z  jednego  sędziego  oraz dwóch 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D93E4C" w:rsidRPr="00D93E4C">
        <w:rPr>
          <w:rFonts w:ascii="Arial" w:eastAsia="Calibri" w:hAnsi="Arial" w:cs="Arial"/>
          <w:b/>
          <w:szCs w:val="24"/>
        </w:rPr>
        <w:t>ławników;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93E4C" w:rsidRPr="00D93E4C">
        <w:rPr>
          <w:rFonts w:ascii="Arial" w:eastAsia="Calibri" w:hAnsi="Arial" w:cs="Arial"/>
          <w:szCs w:val="24"/>
        </w:rPr>
        <w:t xml:space="preserve">skład trzyosobowy -  </w:t>
      </w:r>
      <w:r>
        <w:rPr>
          <w:rFonts w:ascii="Arial" w:eastAsia="Calibri" w:hAnsi="Arial" w:cs="Arial"/>
          <w:szCs w:val="24"/>
        </w:rPr>
        <w:t>składający się z trzech sędziów.</w:t>
      </w:r>
    </w:p>
    <w:p w:rsidR="00D93E4C" w:rsidRPr="00D93E4C" w:rsidRDefault="00D93E4C" w:rsidP="00D93E4C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F26BA">
        <w:rPr>
          <w:rFonts w:ascii="Arial" w:eastAsia="Calibri" w:hAnsi="Arial" w:cs="Arial"/>
          <w:b/>
          <w:szCs w:val="24"/>
        </w:rPr>
        <w:t xml:space="preserve">29. </w:t>
      </w:r>
      <w:r w:rsidR="00D93E4C" w:rsidRPr="00D93E4C">
        <w:rPr>
          <w:rFonts w:ascii="Arial" w:eastAsia="Calibri" w:hAnsi="Arial" w:cs="Arial"/>
          <w:b/>
          <w:szCs w:val="24"/>
        </w:rPr>
        <w:t>Wyrokiem nakazowym w sprawie o przestępstwo można orzec:</w:t>
      </w:r>
    </w:p>
    <w:p w:rsidR="00D93E4C" w:rsidRPr="00D93E4C" w:rsidRDefault="009F26BA" w:rsidP="009F26BA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97314E">
        <w:rPr>
          <w:rFonts w:ascii="Arial" w:eastAsia="Calibri" w:hAnsi="Arial" w:cs="Arial"/>
          <w:b/>
          <w:szCs w:val="24"/>
        </w:rPr>
        <w:t>k</w:t>
      </w:r>
      <w:r w:rsidR="00D93E4C" w:rsidRPr="00D93E4C">
        <w:rPr>
          <w:rFonts w:ascii="Arial" w:eastAsia="Calibri" w:hAnsi="Arial" w:cs="Arial"/>
          <w:b/>
          <w:szCs w:val="24"/>
        </w:rPr>
        <w:t>arę grzywny w liczbie do 200 stawek dziennych;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k</w:t>
      </w:r>
      <w:r w:rsidR="00D93E4C" w:rsidRPr="00D93E4C">
        <w:rPr>
          <w:rFonts w:ascii="Arial" w:eastAsia="Calibri" w:hAnsi="Arial" w:cs="Arial"/>
          <w:szCs w:val="24"/>
        </w:rPr>
        <w:t>arę grzywny w liczbie do 300 stawek dziennych;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k</w:t>
      </w:r>
      <w:r w:rsidR="00D93E4C" w:rsidRPr="00D93E4C">
        <w:rPr>
          <w:rFonts w:ascii="Arial" w:eastAsia="Calibri" w:hAnsi="Arial" w:cs="Arial"/>
          <w:szCs w:val="24"/>
        </w:rPr>
        <w:t xml:space="preserve">arę grzywny w </w:t>
      </w:r>
      <w:r>
        <w:rPr>
          <w:rFonts w:ascii="Arial" w:eastAsia="Calibri" w:hAnsi="Arial" w:cs="Arial"/>
          <w:szCs w:val="24"/>
        </w:rPr>
        <w:t>liczbie do 500 stawek dziennych.</w:t>
      </w:r>
    </w:p>
    <w:p w:rsidR="00D93E4C" w:rsidRPr="0097314E" w:rsidRDefault="00D93E4C" w:rsidP="00D93E4C">
      <w:pPr>
        <w:spacing w:after="200"/>
        <w:ind w:left="1068"/>
        <w:contextualSpacing/>
        <w:rPr>
          <w:rFonts w:ascii="Arial" w:eastAsia="Calibri" w:hAnsi="Arial" w:cs="Arial"/>
          <w:b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30. </w:t>
      </w:r>
      <w:r w:rsidR="00D93E4C" w:rsidRPr="0097314E">
        <w:rPr>
          <w:rFonts w:ascii="Arial" w:eastAsia="Calibri" w:hAnsi="Arial" w:cs="Arial"/>
          <w:b/>
          <w:szCs w:val="24"/>
        </w:rPr>
        <w:t>Termin do złożenia wniosku o przywrócenie terminu zawitego: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wy</w:t>
      </w:r>
      <w:r w:rsidR="00D93E4C" w:rsidRPr="00D93E4C">
        <w:rPr>
          <w:rFonts w:ascii="Arial" w:eastAsia="Calibri" w:hAnsi="Arial" w:cs="Arial"/>
          <w:b/>
          <w:szCs w:val="24"/>
        </w:rPr>
        <w:t xml:space="preserve">nosi 7 dni i biegnie od daty ustania przeszkody uniemożliwiającej 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D93E4C" w:rsidRPr="00D93E4C">
        <w:rPr>
          <w:rFonts w:ascii="Arial" w:eastAsia="Calibri" w:hAnsi="Arial" w:cs="Arial"/>
          <w:b/>
          <w:szCs w:val="24"/>
        </w:rPr>
        <w:t>dokonanie czynności w terminie;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wy</w:t>
      </w:r>
      <w:r w:rsidR="00D93E4C" w:rsidRPr="00D93E4C">
        <w:rPr>
          <w:rFonts w:ascii="Arial" w:eastAsia="Calibri" w:hAnsi="Arial" w:cs="Arial"/>
          <w:szCs w:val="24"/>
        </w:rPr>
        <w:t>nosi 7 dni i biegnie od daty uprawomocnienia się orzeczenia;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wy</w:t>
      </w:r>
      <w:r w:rsidR="00D93E4C" w:rsidRPr="00D93E4C">
        <w:rPr>
          <w:rFonts w:ascii="Arial" w:eastAsia="Calibri" w:hAnsi="Arial" w:cs="Arial"/>
          <w:szCs w:val="24"/>
        </w:rPr>
        <w:t>nosi 7 dni i biegnie od daty rozpoczę</w:t>
      </w:r>
      <w:r>
        <w:rPr>
          <w:rFonts w:ascii="Arial" w:eastAsia="Calibri" w:hAnsi="Arial" w:cs="Arial"/>
          <w:szCs w:val="24"/>
        </w:rPr>
        <w:t>cia wykonywania orzeczonej kary.</w:t>
      </w:r>
    </w:p>
    <w:p w:rsidR="00D93E4C" w:rsidRPr="00D93E4C" w:rsidRDefault="00D93E4C" w:rsidP="00D93E4C">
      <w:pPr>
        <w:spacing w:after="200"/>
        <w:ind w:left="1068"/>
        <w:contextualSpacing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31. </w:t>
      </w:r>
      <w:r w:rsidR="00D93E4C" w:rsidRPr="0097314E">
        <w:rPr>
          <w:rFonts w:ascii="Arial" w:eastAsia="Calibri" w:hAnsi="Arial" w:cs="Arial"/>
          <w:b/>
          <w:szCs w:val="24"/>
        </w:rPr>
        <w:t>Wyrok nakazowy może być zaskarżony: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a) s</w:t>
      </w:r>
      <w:r w:rsidR="00D93E4C" w:rsidRPr="00D93E4C">
        <w:rPr>
          <w:rFonts w:ascii="Arial" w:eastAsia="Calibri" w:hAnsi="Arial" w:cs="Arial"/>
          <w:b/>
          <w:szCs w:val="24"/>
        </w:rPr>
        <w:t xml:space="preserve">przeciwem - wnoszonym w terminie 7 dni od daty doręczenia odpisu 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D93E4C" w:rsidRPr="00D93E4C">
        <w:rPr>
          <w:rFonts w:ascii="Arial" w:eastAsia="Calibri" w:hAnsi="Arial" w:cs="Arial"/>
          <w:b/>
          <w:szCs w:val="24"/>
        </w:rPr>
        <w:t>wyroku nakazowego;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</w:t>
      </w:r>
      <w:r w:rsidR="00D93E4C" w:rsidRPr="00D93E4C">
        <w:rPr>
          <w:rFonts w:ascii="Arial" w:eastAsia="Calibri" w:hAnsi="Arial" w:cs="Arial"/>
          <w:szCs w:val="24"/>
        </w:rPr>
        <w:t xml:space="preserve">ażaleniem - wnoszonym w terminie 7 dni od daty doręczenia odpisu wyroku 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nakazowego;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a</w:t>
      </w:r>
      <w:r w:rsidR="00D93E4C" w:rsidRPr="00D93E4C">
        <w:rPr>
          <w:rFonts w:ascii="Arial" w:eastAsia="Calibri" w:hAnsi="Arial" w:cs="Arial"/>
          <w:szCs w:val="24"/>
        </w:rPr>
        <w:t xml:space="preserve">pelacją - wnoszoną w terminie 14 dni od daty doręczenia odpisu wyroku 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nakazowego wraz</w:t>
      </w:r>
      <w:r>
        <w:rPr>
          <w:rFonts w:ascii="Arial" w:eastAsia="Calibri" w:hAnsi="Arial" w:cs="Arial"/>
          <w:szCs w:val="24"/>
        </w:rPr>
        <w:t xml:space="preserve"> z uzasadnieniem.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32. </w:t>
      </w:r>
      <w:r w:rsidR="00D93E4C" w:rsidRPr="0097314E">
        <w:rPr>
          <w:rFonts w:ascii="Arial" w:eastAsia="Calibri" w:hAnsi="Arial" w:cs="Arial"/>
          <w:b/>
          <w:szCs w:val="24"/>
        </w:rPr>
        <w:t>Przerwa w rozprawie w sprawach o przestępstwo trwa najdłużej: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93E4C" w:rsidRPr="00D93E4C">
        <w:rPr>
          <w:rFonts w:ascii="Arial" w:eastAsia="Calibri" w:hAnsi="Arial" w:cs="Arial"/>
          <w:szCs w:val="24"/>
        </w:rPr>
        <w:t>35 dni;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b) </w:t>
      </w:r>
      <w:r w:rsidR="00D93E4C" w:rsidRPr="00D93E4C">
        <w:rPr>
          <w:rFonts w:ascii="Arial" w:eastAsia="Calibri" w:hAnsi="Arial" w:cs="Arial"/>
          <w:b/>
          <w:szCs w:val="24"/>
        </w:rPr>
        <w:t>42 dni;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p</w:t>
      </w:r>
      <w:r w:rsidR="00D93E4C" w:rsidRPr="00D93E4C">
        <w:rPr>
          <w:rFonts w:ascii="Arial" w:eastAsia="Calibri" w:hAnsi="Arial" w:cs="Arial"/>
          <w:szCs w:val="24"/>
        </w:rPr>
        <w:t>rawo w ogóle nie ogranic</w:t>
      </w:r>
      <w:r>
        <w:rPr>
          <w:rFonts w:ascii="Arial" w:eastAsia="Calibri" w:hAnsi="Arial" w:cs="Arial"/>
          <w:szCs w:val="24"/>
        </w:rPr>
        <w:t>za długości przerwy w rozprawie.</w:t>
      </w:r>
    </w:p>
    <w:p w:rsidR="00D93E4C" w:rsidRPr="00D93E4C" w:rsidRDefault="00D93E4C" w:rsidP="00D93E4C">
      <w:pPr>
        <w:spacing w:after="200"/>
        <w:ind w:left="1068"/>
        <w:contextualSpacing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lastRenderedPageBreak/>
        <w:t xml:space="preserve">33. </w:t>
      </w:r>
      <w:r w:rsidR="00D93E4C" w:rsidRPr="0097314E">
        <w:rPr>
          <w:rFonts w:ascii="Arial" w:eastAsia="Calibri" w:hAnsi="Arial" w:cs="Arial"/>
          <w:b/>
          <w:szCs w:val="24"/>
        </w:rPr>
        <w:t>Oskarżyciel prywatny występując do sądu z prywatnym aktem oskarżenia co do zasady powinien uiś</w:t>
      </w:r>
      <w:r w:rsidR="004F7E01">
        <w:rPr>
          <w:rFonts w:ascii="Arial" w:eastAsia="Calibri" w:hAnsi="Arial" w:cs="Arial"/>
          <w:b/>
          <w:szCs w:val="24"/>
        </w:rPr>
        <w:t>ci</w:t>
      </w:r>
      <w:r w:rsidR="00D93E4C" w:rsidRPr="0097314E">
        <w:rPr>
          <w:rFonts w:ascii="Arial" w:eastAsia="Calibri" w:hAnsi="Arial" w:cs="Arial"/>
          <w:b/>
          <w:szCs w:val="24"/>
        </w:rPr>
        <w:t>ć zryczałtowane wydatki postępowania w wysokości: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D93E4C" w:rsidRPr="00D93E4C">
        <w:rPr>
          <w:rFonts w:ascii="Arial" w:eastAsia="Calibri" w:hAnsi="Arial" w:cs="Arial"/>
          <w:b/>
          <w:szCs w:val="24"/>
        </w:rPr>
        <w:t>300 złotych;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93E4C" w:rsidRPr="00D93E4C">
        <w:rPr>
          <w:rFonts w:ascii="Arial" w:eastAsia="Calibri" w:hAnsi="Arial" w:cs="Arial"/>
          <w:szCs w:val="24"/>
        </w:rPr>
        <w:t>500 złotych;</w:t>
      </w:r>
    </w:p>
    <w:p w:rsid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c) p</w:t>
      </w:r>
      <w:r w:rsidR="00D93E4C" w:rsidRPr="00D93E4C">
        <w:rPr>
          <w:rFonts w:ascii="Arial" w:eastAsia="Calibri" w:hAnsi="Arial" w:cs="Arial"/>
          <w:szCs w:val="24"/>
        </w:rPr>
        <w:t xml:space="preserve">odobnie jak prokurator nie musi uiszczać żadnych opłat albowiem o kosztach 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93E4C" w:rsidRPr="00D93E4C">
        <w:rPr>
          <w:rFonts w:ascii="Arial" w:eastAsia="Calibri" w:hAnsi="Arial" w:cs="Arial"/>
          <w:szCs w:val="24"/>
        </w:rPr>
        <w:t>postępowania sąd rozstrzyga w or</w:t>
      </w:r>
      <w:r>
        <w:rPr>
          <w:rFonts w:ascii="Arial" w:eastAsia="Calibri" w:hAnsi="Arial" w:cs="Arial"/>
          <w:szCs w:val="24"/>
        </w:rPr>
        <w:t>zeczeniu kończącym postępowanie.</w:t>
      </w:r>
    </w:p>
    <w:p w:rsidR="00D93E4C" w:rsidRPr="00D93E4C" w:rsidRDefault="00D93E4C" w:rsidP="00D93E4C">
      <w:pPr>
        <w:spacing w:after="200"/>
        <w:contextualSpacing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34. </w:t>
      </w:r>
      <w:r w:rsidR="00D93E4C" w:rsidRPr="0097314E">
        <w:rPr>
          <w:rFonts w:ascii="Arial" w:eastAsia="Calibri" w:hAnsi="Arial" w:cs="Arial"/>
          <w:b/>
          <w:szCs w:val="24"/>
        </w:rPr>
        <w:t>O podjęciu warunkowo umorzonego postępowania karnego orzeka: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a) </w:t>
      </w:r>
      <w:r w:rsidR="00D93E4C" w:rsidRPr="00D93E4C">
        <w:rPr>
          <w:rFonts w:ascii="Arial" w:eastAsia="Calibri" w:hAnsi="Arial" w:cs="Arial"/>
          <w:b/>
          <w:szCs w:val="24"/>
        </w:rPr>
        <w:t>sąd pierwszej instancji właściwy do rozpoznania sprawy;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93E4C" w:rsidRPr="00D93E4C">
        <w:rPr>
          <w:rFonts w:ascii="Arial" w:eastAsia="Calibri" w:hAnsi="Arial" w:cs="Arial"/>
          <w:szCs w:val="24"/>
        </w:rPr>
        <w:t>sąd drugiej instancji;</w:t>
      </w:r>
    </w:p>
    <w:p w:rsidR="00D93E4C" w:rsidRPr="00D93E4C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A81B7B">
        <w:rPr>
          <w:rFonts w:ascii="Arial" w:eastAsia="Calibri" w:hAnsi="Arial" w:cs="Arial"/>
          <w:szCs w:val="24"/>
        </w:rPr>
        <w:t>kurator zawodowy.</w:t>
      </w:r>
    </w:p>
    <w:p w:rsidR="00D93E4C" w:rsidRPr="00D93E4C" w:rsidRDefault="00D93E4C" w:rsidP="00D93E4C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35. </w:t>
      </w:r>
      <w:r w:rsidR="00D93E4C" w:rsidRPr="0097314E">
        <w:rPr>
          <w:rFonts w:ascii="Arial" w:eastAsia="Calibri" w:hAnsi="Arial" w:cs="Arial"/>
          <w:b/>
          <w:szCs w:val="24"/>
        </w:rPr>
        <w:t>Od wyroku sądu odwoławczego uchylającego do ponownego rozpoznania wyrok sądu pierwszej instancji służy środek odwoławczy w postaci:</w:t>
      </w:r>
    </w:p>
    <w:p w:rsidR="00D93E4C" w:rsidRPr="0097314E" w:rsidRDefault="0097314E" w:rsidP="0097314E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 w:rsidRPr="0097314E">
        <w:rPr>
          <w:rFonts w:ascii="Arial" w:eastAsia="Calibri" w:hAnsi="Arial" w:cs="Arial"/>
          <w:szCs w:val="24"/>
        </w:rPr>
        <w:t>a) k</w:t>
      </w:r>
      <w:r w:rsidR="00D93E4C" w:rsidRPr="0097314E">
        <w:rPr>
          <w:rFonts w:ascii="Arial" w:eastAsia="Calibri" w:hAnsi="Arial" w:cs="Arial"/>
          <w:szCs w:val="24"/>
        </w:rPr>
        <w:t>asacja;</w:t>
      </w:r>
    </w:p>
    <w:p w:rsidR="00D93E4C" w:rsidRPr="0097314E" w:rsidRDefault="0097314E" w:rsidP="0097314E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>b) s</w:t>
      </w:r>
      <w:r w:rsidR="00D93E4C" w:rsidRPr="0097314E">
        <w:rPr>
          <w:rFonts w:ascii="Arial" w:eastAsia="Calibri" w:hAnsi="Arial" w:cs="Arial"/>
          <w:b/>
          <w:szCs w:val="24"/>
        </w:rPr>
        <w:t>karga;</w:t>
      </w:r>
    </w:p>
    <w:p w:rsidR="00D93E4C" w:rsidRPr="0097314E" w:rsidRDefault="0097314E" w:rsidP="0097314E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 w:rsidRPr="0097314E">
        <w:rPr>
          <w:rFonts w:ascii="Arial" w:eastAsia="Calibri" w:hAnsi="Arial" w:cs="Arial"/>
          <w:szCs w:val="24"/>
        </w:rPr>
        <w:t>c) n</w:t>
      </w:r>
      <w:r w:rsidR="00D93E4C" w:rsidRPr="0097314E">
        <w:rPr>
          <w:rFonts w:ascii="Arial" w:eastAsia="Calibri" w:hAnsi="Arial" w:cs="Arial"/>
          <w:szCs w:val="24"/>
        </w:rPr>
        <w:t>ie przy</w:t>
      </w:r>
      <w:r w:rsidRPr="0097314E">
        <w:rPr>
          <w:rFonts w:ascii="Arial" w:eastAsia="Calibri" w:hAnsi="Arial" w:cs="Arial"/>
          <w:szCs w:val="24"/>
        </w:rPr>
        <w:t>sługuje żaden środek odwoławczy.</w:t>
      </w:r>
    </w:p>
    <w:p w:rsidR="00D93E4C" w:rsidRPr="0097314E" w:rsidRDefault="00D93E4C" w:rsidP="00D93E4C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97314E">
        <w:rPr>
          <w:rFonts w:ascii="Arial" w:eastAsia="Calibri" w:hAnsi="Arial" w:cs="Arial"/>
          <w:b/>
          <w:szCs w:val="24"/>
        </w:rPr>
        <w:t xml:space="preserve">36. </w:t>
      </w:r>
      <w:r w:rsidR="00D93E4C" w:rsidRPr="0097314E">
        <w:rPr>
          <w:rFonts w:ascii="Arial" w:eastAsia="Calibri" w:hAnsi="Arial" w:cs="Arial"/>
          <w:b/>
          <w:szCs w:val="24"/>
        </w:rPr>
        <w:t>W przypadku braku warunków do wydania wyroku łącznego sąd:</w:t>
      </w: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o</w:t>
      </w:r>
      <w:r w:rsidR="00D93E4C" w:rsidRPr="0097314E">
        <w:rPr>
          <w:rFonts w:ascii="Arial" w:eastAsia="Calibri" w:hAnsi="Arial" w:cs="Arial"/>
          <w:szCs w:val="24"/>
        </w:rPr>
        <w:t>ddala wniosek o wydanie wyroku łącznego;</w:t>
      </w: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</w:t>
      </w:r>
      <w:r w:rsidR="00D93E4C" w:rsidRPr="0097314E">
        <w:rPr>
          <w:rFonts w:ascii="Arial" w:eastAsia="Calibri" w:hAnsi="Arial" w:cs="Arial"/>
          <w:szCs w:val="24"/>
        </w:rPr>
        <w:t>wraca wniosek o wydanie wyroku łącznego;</w:t>
      </w:r>
    </w:p>
    <w:p w:rsidR="00D93E4C" w:rsidRPr="0097314E" w:rsidRDefault="0097314E" w:rsidP="0097314E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c) p</w:t>
      </w:r>
      <w:r w:rsidR="00D93E4C" w:rsidRPr="0097314E">
        <w:rPr>
          <w:rFonts w:ascii="Arial" w:eastAsia="Calibri" w:hAnsi="Arial" w:cs="Arial"/>
          <w:b/>
          <w:szCs w:val="24"/>
        </w:rPr>
        <w:t>os</w:t>
      </w:r>
      <w:r>
        <w:rPr>
          <w:rFonts w:ascii="Arial" w:eastAsia="Calibri" w:hAnsi="Arial" w:cs="Arial"/>
          <w:b/>
          <w:szCs w:val="24"/>
        </w:rPr>
        <w:t>tanowieniem umarza postępowanie.</w:t>
      </w:r>
    </w:p>
    <w:p w:rsidR="00D93E4C" w:rsidRPr="0097314E" w:rsidRDefault="00D93E4C" w:rsidP="00D93E4C">
      <w:pPr>
        <w:rPr>
          <w:rFonts w:ascii="Arial" w:eastAsia="Times New Roman" w:hAnsi="Arial" w:cs="Arial"/>
          <w:b/>
          <w:szCs w:val="24"/>
          <w:lang w:eastAsia="pl-PL"/>
        </w:rPr>
      </w:pPr>
    </w:p>
    <w:p w:rsidR="00003C12" w:rsidRPr="00714545" w:rsidRDefault="00003C12" w:rsidP="003C6D3A">
      <w:pPr>
        <w:spacing w:line="276" w:lineRule="auto"/>
        <w:jc w:val="left"/>
        <w:rPr>
          <w:rFonts w:ascii="Arial" w:hAnsi="Arial" w:cs="Arial"/>
          <w:color w:val="000000" w:themeColor="text1"/>
          <w:szCs w:val="24"/>
        </w:rPr>
      </w:pPr>
    </w:p>
    <w:sectPr w:rsidR="00003C12" w:rsidRPr="00714545" w:rsidSect="00D8529E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2F1" w:rsidRDefault="005952F1" w:rsidP="00911F3E">
      <w:pPr>
        <w:spacing w:line="240" w:lineRule="auto"/>
      </w:pPr>
      <w:r>
        <w:separator/>
      </w:r>
    </w:p>
  </w:endnote>
  <w:endnote w:type="continuationSeparator" w:id="0">
    <w:p w:rsidR="005952F1" w:rsidRDefault="005952F1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91760" w:rsidRDefault="0099176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10F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710F3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2F1" w:rsidRDefault="005952F1" w:rsidP="00911F3E">
      <w:pPr>
        <w:spacing w:line="240" w:lineRule="auto"/>
      </w:pPr>
      <w:r>
        <w:separator/>
      </w:r>
    </w:p>
  </w:footnote>
  <w:footnote w:type="continuationSeparator" w:id="0">
    <w:p w:rsidR="005952F1" w:rsidRDefault="005952F1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FC9"/>
    <w:multiLevelType w:val="hybridMultilevel"/>
    <w:tmpl w:val="685E371A"/>
    <w:lvl w:ilvl="0" w:tplc="3BC67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12CE2"/>
    <w:multiLevelType w:val="hybridMultilevel"/>
    <w:tmpl w:val="09AC6334"/>
    <w:lvl w:ilvl="0" w:tplc="5C549A4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8E4912"/>
    <w:multiLevelType w:val="hybridMultilevel"/>
    <w:tmpl w:val="EEE0A3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CC15FD"/>
    <w:multiLevelType w:val="hybridMultilevel"/>
    <w:tmpl w:val="28A0DE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074CCE"/>
    <w:multiLevelType w:val="hybridMultilevel"/>
    <w:tmpl w:val="2C0C0CFA"/>
    <w:lvl w:ilvl="0" w:tplc="F3C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64555B"/>
    <w:multiLevelType w:val="hybridMultilevel"/>
    <w:tmpl w:val="F74CB376"/>
    <w:lvl w:ilvl="0" w:tplc="588EDB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B013E0"/>
    <w:multiLevelType w:val="hybridMultilevel"/>
    <w:tmpl w:val="8C3679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3F726A"/>
    <w:multiLevelType w:val="hybridMultilevel"/>
    <w:tmpl w:val="11683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45611"/>
    <w:multiLevelType w:val="hybridMultilevel"/>
    <w:tmpl w:val="16BC9A6A"/>
    <w:lvl w:ilvl="0" w:tplc="3CFC07E2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BB5A00"/>
    <w:multiLevelType w:val="hybridMultilevel"/>
    <w:tmpl w:val="6B4A7080"/>
    <w:lvl w:ilvl="0" w:tplc="5D86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1A17A2"/>
    <w:multiLevelType w:val="hybridMultilevel"/>
    <w:tmpl w:val="E84EB1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4816CB1"/>
    <w:multiLevelType w:val="hybridMultilevel"/>
    <w:tmpl w:val="E7C64C7C"/>
    <w:lvl w:ilvl="0" w:tplc="06625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8D37B7"/>
    <w:multiLevelType w:val="hybridMultilevel"/>
    <w:tmpl w:val="C5B09EF6"/>
    <w:lvl w:ilvl="0" w:tplc="2B468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32251D"/>
    <w:multiLevelType w:val="hybridMultilevel"/>
    <w:tmpl w:val="3E2EF79C"/>
    <w:lvl w:ilvl="0" w:tplc="C2FCF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BF45F1"/>
    <w:multiLevelType w:val="hybridMultilevel"/>
    <w:tmpl w:val="DEFCFA88"/>
    <w:lvl w:ilvl="0" w:tplc="96C45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4"/>
  </w:num>
  <w:num w:numId="5">
    <w:abstractNumId w:val="7"/>
  </w:num>
  <w:num w:numId="6">
    <w:abstractNumId w:val="2"/>
  </w:num>
  <w:num w:numId="7">
    <w:abstractNumId w:val="18"/>
  </w:num>
  <w:num w:numId="8">
    <w:abstractNumId w:val="16"/>
  </w:num>
  <w:num w:numId="9">
    <w:abstractNumId w:val="1"/>
  </w:num>
  <w:num w:numId="10">
    <w:abstractNumId w:val="3"/>
  </w:num>
  <w:num w:numId="11">
    <w:abstractNumId w:val="11"/>
  </w:num>
  <w:num w:numId="12">
    <w:abstractNumId w:val="15"/>
  </w:num>
  <w:num w:numId="13">
    <w:abstractNumId w:val="9"/>
  </w:num>
  <w:num w:numId="14">
    <w:abstractNumId w:val="17"/>
  </w:num>
  <w:num w:numId="15">
    <w:abstractNumId w:val="13"/>
  </w:num>
  <w:num w:numId="16">
    <w:abstractNumId w:val="4"/>
  </w:num>
  <w:num w:numId="17">
    <w:abstractNumId w:val="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2792A"/>
    <w:rsid w:val="00041129"/>
    <w:rsid w:val="000A66F0"/>
    <w:rsid w:val="000A7AF0"/>
    <w:rsid w:val="000A7BDD"/>
    <w:rsid w:val="000E2B26"/>
    <w:rsid w:val="000F5815"/>
    <w:rsid w:val="00103D31"/>
    <w:rsid w:val="00105A11"/>
    <w:rsid w:val="00123DB0"/>
    <w:rsid w:val="00144545"/>
    <w:rsid w:val="001479CA"/>
    <w:rsid w:val="0015403D"/>
    <w:rsid w:val="00156897"/>
    <w:rsid w:val="00161C8A"/>
    <w:rsid w:val="001A28AF"/>
    <w:rsid w:val="001B6285"/>
    <w:rsid w:val="00242738"/>
    <w:rsid w:val="00247239"/>
    <w:rsid w:val="00276A68"/>
    <w:rsid w:val="002B4354"/>
    <w:rsid w:val="002B715B"/>
    <w:rsid w:val="002C67FA"/>
    <w:rsid w:val="002E5D8B"/>
    <w:rsid w:val="00327160"/>
    <w:rsid w:val="00337FC7"/>
    <w:rsid w:val="00343F1F"/>
    <w:rsid w:val="003442BA"/>
    <w:rsid w:val="0035512D"/>
    <w:rsid w:val="00377DEF"/>
    <w:rsid w:val="00387FF9"/>
    <w:rsid w:val="003C6D3A"/>
    <w:rsid w:val="003D2BF8"/>
    <w:rsid w:val="003E7690"/>
    <w:rsid w:val="004249F7"/>
    <w:rsid w:val="004342B4"/>
    <w:rsid w:val="00446487"/>
    <w:rsid w:val="00452599"/>
    <w:rsid w:val="00465623"/>
    <w:rsid w:val="00497F7B"/>
    <w:rsid w:val="004A1BFB"/>
    <w:rsid w:val="004B7B81"/>
    <w:rsid w:val="004C7F4C"/>
    <w:rsid w:val="004D3FF1"/>
    <w:rsid w:val="004D6452"/>
    <w:rsid w:val="004F7E01"/>
    <w:rsid w:val="0050055A"/>
    <w:rsid w:val="005033F7"/>
    <w:rsid w:val="00524D7D"/>
    <w:rsid w:val="00531767"/>
    <w:rsid w:val="005470E0"/>
    <w:rsid w:val="00560391"/>
    <w:rsid w:val="005608FF"/>
    <w:rsid w:val="0059446A"/>
    <w:rsid w:val="005952F1"/>
    <w:rsid w:val="005A6D75"/>
    <w:rsid w:val="005B1856"/>
    <w:rsid w:val="005B4023"/>
    <w:rsid w:val="005C2F24"/>
    <w:rsid w:val="005C62C3"/>
    <w:rsid w:val="00602358"/>
    <w:rsid w:val="00612FA9"/>
    <w:rsid w:val="00613E8D"/>
    <w:rsid w:val="006349DF"/>
    <w:rsid w:val="006862FF"/>
    <w:rsid w:val="006A35D9"/>
    <w:rsid w:val="006C1AE8"/>
    <w:rsid w:val="006D7012"/>
    <w:rsid w:val="0070532A"/>
    <w:rsid w:val="00706661"/>
    <w:rsid w:val="00714545"/>
    <w:rsid w:val="007414B5"/>
    <w:rsid w:val="00755CD6"/>
    <w:rsid w:val="00757A7D"/>
    <w:rsid w:val="00787A96"/>
    <w:rsid w:val="007927D6"/>
    <w:rsid w:val="00796484"/>
    <w:rsid w:val="007A2D0C"/>
    <w:rsid w:val="007B22C6"/>
    <w:rsid w:val="007E354B"/>
    <w:rsid w:val="007F08CF"/>
    <w:rsid w:val="007F22F1"/>
    <w:rsid w:val="00802BE6"/>
    <w:rsid w:val="00816F74"/>
    <w:rsid w:val="00856E9E"/>
    <w:rsid w:val="00870BBB"/>
    <w:rsid w:val="0087171D"/>
    <w:rsid w:val="00891937"/>
    <w:rsid w:val="00897E46"/>
    <w:rsid w:val="008A1F9E"/>
    <w:rsid w:val="008A6285"/>
    <w:rsid w:val="008D2025"/>
    <w:rsid w:val="008D34B4"/>
    <w:rsid w:val="008D7CF4"/>
    <w:rsid w:val="008F1273"/>
    <w:rsid w:val="008F4C0F"/>
    <w:rsid w:val="008F5DE7"/>
    <w:rsid w:val="00911F3E"/>
    <w:rsid w:val="00920EFB"/>
    <w:rsid w:val="00945415"/>
    <w:rsid w:val="00950AC5"/>
    <w:rsid w:val="009666D9"/>
    <w:rsid w:val="0097314E"/>
    <w:rsid w:val="00984F29"/>
    <w:rsid w:val="00991760"/>
    <w:rsid w:val="00995CE7"/>
    <w:rsid w:val="009A6AD0"/>
    <w:rsid w:val="009B1FDF"/>
    <w:rsid w:val="009D1E7D"/>
    <w:rsid w:val="009D42F1"/>
    <w:rsid w:val="009F26BA"/>
    <w:rsid w:val="00A00BA9"/>
    <w:rsid w:val="00A01A04"/>
    <w:rsid w:val="00A04447"/>
    <w:rsid w:val="00A36813"/>
    <w:rsid w:val="00A50686"/>
    <w:rsid w:val="00A54599"/>
    <w:rsid w:val="00A64007"/>
    <w:rsid w:val="00A74609"/>
    <w:rsid w:val="00A81B7B"/>
    <w:rsid w:val="00AD06C6"/>
    <w:rsid w:val="00AF0241"/>
    <w:rsid w:val="00AF7635"/>
    <w:rsid w:val="00B06688"/>
    <w:rsid w:val="00B11974"/>
    <w:rsid w:val="00B212C7"/>
    <w:rsid w:val="00B26B9A"/>
    <w:rsid w:val="00B401A4"/>
    <w:rsid w:val="00B65FA1"/>
    <w:rsid w:val="00B74F16"/>
    <w:rsid w:val="00B8090F"/>
    <w:rsid w:val="00B836A7"/>
    <w:rsid w:val="00B85EA2"/>
    <w:rsid w:val="00B91E05"/>
    <w:rsid w:val="00BC71C6"/>
    <w:rsid w:val="00BE14BF"/>
    <w:rsid w:val="00C057BC"/>
    <w:rsid w:val="00C11AB0"/>
    <w:rsid w:val="00C329DC"/>
    <w:rsid w:val="00C82E0A"/>
    <w:rsid w:val="00C96CFE"/>
    <w:rsid w:val="00C972C7"/>
    <w:rsid w:val="00C9764E"/>
    <w:rsid w:val="00CA4E92"/>
    <w:rsid w:val="00CD11F2"/>
    <w:rsid w:val="00CE5789"/>
    <w:rsid w:val="00D036CB"/>
    <w:rsid w:val="00D05FAA"/>
    <w:rsid w:val="00D10E93"/>
    <w:rsid w:val="00D15A32"/>
    <w:rsid w:val="00D26D31"/>
    <w:rsid w:val="00D65253"/>
    <w:rsid w:val="00D8529E"/>
    <w:rsid w:val="00D9374F"/>
    <w:rsid w:val="00D93E4C"/>
    <w:rsid w:val="00DB29C8"/>
    <w:rsid w:val="00DB4E4D"/>
    <w:rsid w:val="00DC23BD"/>
    <w:rsid w:val="00E30C0F"/>
    <w:rsid w:val="00E4380B"/>
    <w:rsid w:val="00E710F3"/>
    <w:rsid w:val="00E80F64"/>
    <w:rsid w:val="00EA05A6"/>
    <w:rsid w:val="00EC5057"/>
    <w:rsid w:val="00F029B7"/>
    <w:rsid w:val="00F133C1"/>
    <w:rsid w:val="00F23FC0"/>
    <w:rsid w:val="00F43BD1"/>
    <w:rsid w:val="00F57BB6"/>
    <w:rsid w:val="00F86680"/>
    <w:rsid w:val="00FA6BA5"/>
    <w:rsid w:val="00FB1BA7"/>
    <w:rsid w:val="00FC1E28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0599B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4A4A6-65B9-40DC-8F6B-2737480A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2025-04-30T06:05:00Z</cp:lastPrinted>
  <dcterms:created xsi:type="dcterms:W3CDTF">2026-07-28T11:45:00Z</dcterms:created>
  <dcterms:modified xsi:type="dcterms:W3CDTF">2026-07-28T11:46:00Z</dcterms:modified>
</cp:coreProperties>
</file>