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4D" w:rsidRPr="00F825C2" w:rsidRDefault="00DB4E4D" w:rsidP="00DB4E4D">
      <w:pPr>
        <w:ind w:left="-142" w:hanging="709"/>
        <w:rPr>
          <w:rFonts w:ascii="Arial" w:hAnsi="Arial" w:cs="Arial"/>
          <w:b/>
          <w:sz w:val="26"/>
          <w:szCs w:val="26"/>
        </w:rPr>
      </w:pPr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DB4E4D" w:rsidRPr="00F825C2" w:rsidRDefault="00D064A9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OK.1101.8</w:t>
      </w:r>
      <w:r w:rsidR="006C1AE8">
        <w:rPr>
          <w:rFonts w:ascii="Arial" w:hAnsi="Arial" w:cs="Arial"/>
          <w:b/>
          <w:sz w:val="26"/>
          <w:szCs w:val="26"/>
        </w:rPr>
        <w:t>.2025</w:t>
      </w:r>
    </w:p>
    <w:p w:rsidR="00DB4E4D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3C6D3A" w:rsidRDefault="00DB4E4D" w:rsidP="003C6D3A">
      <w:pPr>
        <w:spacing w:line="276" w:lineRule="auto"/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TEST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1. Według Kodeksu cywilnego, w polskim prawie cywilnym zasada nieretroakcji (zasada, że ustawa nie ma mocy wstecznej):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Pr="00F670DF">
        <w:rPr>
          <w:rFonts w:ascii="Arial" w:eastAsia="Calibri" w:hAnsi="Arial" w:cs="Arial"/>
          <w:szCs w:val="24"/>
        </w:rPr>
        <w:t>obowiązuje bezwzględnie,</w:t>
      </w:r>
      <w:r w:rsidR="00A83081">
        <w:rPr>
          <w:rFonts w:ascii="Arial" w:eastAsia="Calibri" w:hAnsi="Arial" w:cs="Arial"/>
          <w:szCs w:val="24"/>
        </w:rPr>
        <w:t xml:space="preserve"> to znaczy bez żadnych wyjątków;</w:t>
      </w:r>
    </w:p>
    <w:p w:rsid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 xml:space="preserve">b) obowiązuje, lecz doznaje wyjątku w sytuacji, gdy wynika to z brzmienia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Pr="00F670DF">
        <w:rPr>
          <w:rFonts w:ascii="Arial" w:eastAsia="Calibri" w:hAnsi="Arial" w:cs="Arial"/>
          <w:b/>
          <w:szCs w:val="24"/>
        </w:rPr>
        <w:t>ustawy</w:t>
      </w:r>
      <w:r>
        <w:rPr>
          <w:rFonts w:ascii="Arial" w:eastAsia="Calibri" w:hAnsi="Arial" w:cs="Arial"/>
          <w:b/>
          <w:szCs w:val="24"/>
        </w:rPr>
        <w:t xml:space="preserve"> </w:t>
      </w:r>
      <w:r w:rsidRPr="00F670DF">
        <w:rPr>
          <w:rFonts w:ascii="Arial" w:eastAsia="Calibri" w:hAnsi="Arial" w:cs="Arial"/>
          <w:b/>
          <w:szCs w:val="24"/>
        </w:rPr>
        <w:t>lub jej celu;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>w ogóle nie obowiązuje.</w:t>
      </w:r>
    </w:p>
    <w:p w:rsid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2. Według Kodeksu cywilnego, osoba fizyczna, która nie ukończyła lat trzynastu: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a) nie ma zdolności do czynności prawnych;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Pr="00F670DF">
        <w:rPr>
          <w:rFonts w:ascii="Arial" w:eastAsia="Calibri" w:hAnsi="Arial" w:cs="Arial"/>
          <w:szCs w:val="24"/>
        </w:rPr>
        <w:t>ma ograniczoną</w:t>
      </w:r>
      <w:r>
        <w:rPr>
          <w:rFonts w:ascii="Arial" w:eastAsia="Calibri" w:hAnsi="Arial" w:cs="Arial"/>
          <w:szCs w:val="24"/>
        </w:rPr>
        <w:t xml:space="preserve"> zdolność do czynności prawnych;</w:t>
      </w:r>
    </w:p>
    <w:p w:rsidR="00F670DF" w:rsidRDefault="00F670DF" w:rsidP="00F670DF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>ma pełną zdolność do czynności prawnych.</w:t>
      </w:r>
    </w:p>
    <w:p w:rsidR="00F670DF" w:rsidRPr="00F670DF" w:rsidRDefault="00F670DF" w:rsidP="00F670DF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3. Według Kodeksu cywilnego, przez uznanie roszczenia przez osobę, przeciwko której roszczenie przysługuje: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Pr="00F670DF">
        <w:rPr>
          <w:rFonts w:ascii="Arial" w:eastAsia="Calibri" w:hAnsi="Arial" w:cs="Arial"/>
          <w:szCs w:val="24"/>
        </w:rPr>
        <w:t xml:space="preserve">bieg </w:t>
      </w:r>
      <w:r>
        <w:rPr>
          <w:rFonts w:ascii="Arial" w:eastAsia="Calibri" w:hAnsi="Arial" w:cs="Arial"/>
          <w:szCs w:val="24"/>
        </w:rPr>
        <w:t>przedawnienia ulega zawieszeniu;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b) bieg przedawnienia przerywa się;</w:t>
      </w:r>
    </w:p>
    <w:p w:rsid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 xml:space="preserve">przedawnienie biegnie w dalszym ciągu, gdyż uznanie roszczenia nie ma wpływu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Pr="00F670DF">
        <w:rPr>
          <w:rFonts w:ascii="Arial" w:eastAsia="Calibri" w:hAnsi="Arial" w:cs="Arial"/>
          <w:szCs w:val="24"/>
        </w:rPr>
        <w:t>na bieg przedawnienia.</w:t>
      </w:r>
    </w:p>
    <w:p w:rsid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4. Według Kodeksu cywilnego, roszczenie o zniesienie współwłasności nieruchomości: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Pr="00F670DF">
        <w:rPr>
          <w:rFonts w:ascii="Arial" w:eastAsia="Calibri" w:hAnsi="Arial" w:cs="Arial"/>
          <w:szCs w:val="24"/>
        </w:rPr>
        <w:t>przedawnia się z upływem dwudziestu lat od nab</w:t>
      </w:r>
      <w:r>
        <w:rPr>
          <w:rFonts w:ascii="Arial" w:eastAsia="Calibri" w:hAnsi="Arial" w:cs="Arial"/>
          <w:szCs w:val="24"/>
        </w:rPr>
        <w:t>ycia udziału w nieruchomości;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Pr="00F670DF">
        <w:rPr>
          <w:rFonts w:ascii="Arial" w:eastAsia="Calibri" w:hAnsi="Arial" w:cs="Arial"/>
          <w:szCs w:val="24"/>
        </w:rPr>
        <w:t xml:space="preserve">przedawnia się z upływem czterdziestu lat od </w:t>
      </w:r>
      <w:r>
        <w:rPr>
          <w:rFonts w:ascii="Arial" w:eastAsia="Calibri" w:hAnsi="Arial" w:cs="Arial"/>
          <w:szCs w:val="24"/>
        </w:rPr>
        <w:t>nabycia udziału w nieruchomości;</w:t>
      </w:r>
    </w:p>
    <w:p w:rsidR="00F670DF" w:rsidRPr="00F86221" w:rsidRDefault="00F670DF" w:rsidP="00F670DF">
      <w:pPr>
        <w:tabs>
          <w:tab w:val="center" w:pos="4536"/>
        </w:tabs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86221">
        <w:rPr>
          <w:rFonts w:ascii="Arial" w:eastAsia="Calibri" w:hAnsi="Arial" w:cs="Arial"/>
          <w:b/>
          <w:szCs w:val="24"/>
        </w:rPr>
        <w:t>c) w ogóle nie ulega przedawnieniu.</w:t>
      </w:r>
      <w:r w:rsidRPr="00F86221">
        <w:rPr>
          <w:rFonts w:ascii="Arial" w:eastAsia="Calibri" w:hAnsi="Arial" w:cs="Arial"/>
          <w:b/>
          <w:szCs w:val="24"/>
        </w:rPr>
        <w:tab/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5. Zgodnie z Kodeksem cywilnym, jeżeli wysokość odsetek wynikających z czynności</w:t>
      </w:r>
      <w:r>
        <w:rPr>
          <w:rFonts w:ascii="Arial" w:eastAsia="Calibri" w:hAnsi="Arial" w:cs="Arial"/>
          <w:b/>
          <w:bCs/>
          <w:szCs w:val="24"/>
        </w:rPr>
        <w:t xml:space="preserve"> </w:t>
      </w:r>
      <w:r w:rsidRPr="00F670DF">
        <w:rPr>
          <w:rFonts w:ascii="Arial" w:eastAsia="Calibri" w:hAnsi="Arial" w:cs="Arial"/>
          <w:b/>
          <w:bCs/>
          <w:szCs w:val="24"/>
        </w:rPr>
        <w:t>prawnej przekracza wysokość odsetek maksymalnych, należą się odsetki: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a) maksymalne;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maksymalne za opóźnienie;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 xml:space="preserve">w wysokości wynikającej z czynności prawnej.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F670DF" w:rsidRPr="00F670DF" w:rsidRDefault="00F670DF" w:rsidP="00F670DF">
      <w:pPr>
        <w:spacing w:line="240" w:lineRule="auto"/>
        <w:ind w:left="567" w:hanging="567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 xml:space="preserve">6. Zgodnie z Kodeksem cywilnym, zobowiązanie jest solidarne: </w:t>
      </w:r>
    </w:p>
    <w:p w:rsidR="00F670DF" w:rsidRPr="00D246B8" w:rsidRDefault="00F670DF" w:rsidP="00F670DF">
      <w:pPr>
        <w:spacing w:line="240" w:lineRule="auto"/>
        <w:rPr>
          <w:rFonts w:ascii="Arial" w:eastAsia="Calibri" w:hAnsi="Arial" w:cs="Arial"/>
          <w:b/>
          <w:szCs w:val="24"/>
        </w:rPr>
      </w:pPr>
      <w:r w:rsidRPr="00D246B8">
        <w:rPr>
          <w:rFonts w:ascii="Arial" w:eastAsia="Calibri" w:hAnsi="Arial" w:cs="Arial"/>
          <w:b/>
          <w:szCs w:val="24"/>
        </w:rPr>
        <w:t>a) jeżeli to wynika z ustawy lub z czynności prawnej;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Pr="00F670DF">
        <w:rPr>
          <w:rFonts w:ascii="Arial" w:eastAsia="Calibri" w:hAnsi="Arial" w:cs="Arial"/>
          <w:szCs w:val="24"/>
        </w:rPr>
        <w:t>tylko wówczas, gdy</w:t>
      </w:r>
      <w:r>
        <w:rPr>
          <w:rFonts w:ascii="Arial" w:eastAsia="Calibri" w:hAnsi="Arial" w:cs="Arial"/>
          <w:szCs w:val="24"/>
        </w:rPr>
        <w:t xml:space="preserve"> przepis szczególny tak stanowi;</w:t>
      </w:r>
    </w:p>
    <w:p w:rsidR="00F670DF" w:rsidRDefault="00F670DF" w:rsidP="00F670DF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 xml:space="preserve">tylko wówczas, gdy przepis szczególny na to zezwala, a strony w umowie wyraziły </w:t>
      </w:r>
    </w:p>
    <w:p w:rsidR="00F670DF" w:rsidRDefault="00F670DF" w:rsidP="00F670DF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Pr="00F670DF">
        <w:rPr>
          <w:rFonts w:ascii="Arial" w:eastAsia="Calibri" w:hAnsi="Arial" w:cs="Arial"/>
          <w:szCs w:val="24"/>
        </w:rPr>
        <w:t>na to zgodę.</w:t>
      </w:r>
    </w:p>
    <w:p w:rsidR="00A972BA" w:rsidRPr="00F670DF" w:rsidRDefault="00A972BA" w:rsidP="00F670DF">
      <w:pPr>
        <w:spacing w:line="240" w:lineRule="auto"/>
        <w:rPr>
          <w:rFonts w:ascii="Arial" w:eastAsia="Calibri" w:hAnsi="Arial" w:cs="Arial"/>
          <w:szCs w:val="24"/>
        </w:rPr>
      </w:pPr>
      <w:bookmarkStart w:id="0" w:name="_GoBack"/>
      <w:bookmarkEnd w:id="0"/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7. Według Kodeksu cywilnego, wierzytelność przedawniona: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nigdy nie może być potrącona;</w:t>
      </w:r>
      <w:r w:rsidRPr="00F670DF">
        <w:rPr>
          <w:rFonts w:ascii="Arial" w:eastAsia="Calibri" w:hAnsi="Arial" w:cs="Arial"/>
          <w:szCs w:val="24"/>
        </w:rPr>
        <w:t xml:space="preserve">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zawsze może być potrącona;</w:t>
      </w:r>
      <w:r w:rsidRPr="00F670DF">
        <w:rPr>
          <w:rFonts w:ascii="Arial" w:eastAsia="Calibri" w:hAnsi="Arial" w:cs="Arial"/>
          <w:szCs w:val="24"/>
        </w:rPr>
        <w:t xml:space="preserve">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 xml:space="preserve">c) może być potrącona, jeżeli w chwili, gdy potrącenie stało się możliwe,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 xml:space="preserve">    przedawnienie jeszcze nie nastąpiło.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8. Według Kodeksu cywilnego, spadkobierca nabywa spadek z chwilą: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Pr="00F670DF">
        <w:rPr>
          <w:rFonts w:ascii="Arial" w:eastAsia="Calibri" w:hAnsi="Arial" w:cs="Arial"/>
          <w:szCs w:val="24"/>
        </w:rPr>
        <w:t>wydania przez sąd</w:t>
      </w:r>
      <w:r>
        <w:rPr>
          <w:rFonts w:ascii="Arial" w:eastAsia="Calibri" w:hAnsi="Arial" w:cs="Arial"/>
          <w:szCs w:val="24"/>
        </w:rPr>
        <w:t xml:space="preserve"> postanowienia o nabyciu spadku;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Pr="00F670DF">
        <w:rPr>
          <w:rFonts w:ascii="Arial" w:eastAsia="Calibri" w:hAnsi="Arial" w:cs="Arial"/>
          <w:szCs w:val="24"/>
        </w:rPr>
        <w:t>uprawomocnienia się</w:t>
      </w:r>
      <w:r>
        <w:rPr>
          <w:rFonts w:ascii="Arial" w:eastAsia="Calibri" w:hAnsi="Arial" w:cs="Arial"/>
          <w:szCs w:val="24"/>
        </w:rPr>
        <w:t xml:space="preserve"> postanowienia o nabyciu spadku;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c) śmierci spadkodawcy (otwarcia spadku).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9.</w:t>
      </w:r>
      <w:r w:rsidRPr="00F670DF">
        <w:rPr>
          <w:rFonts w:ascii="Arial" w:eastAsia="Calibri" w:hAnsi="Arial" w:cs="Arial"/>
          <w:szCs w:val="24"/>
        </w:rPr>
        <w:t xml:space="preserve"> </w:t>
      </w:r>
      <w:r w:rsidRPr="00F670DF">
        <w:rPr>
          <w:rFonts w:ascii="Arial" w:eastAsia="Calibri" w:hAnsi="Arial" w:cs="Arial"/>
          <w:b/>
          <w:szCs w:val="24"/>
        </w:rPr>
        <w:t>Instytucja z</w:t>
      </w:r>
      <w:r w:rsidRPr="00F670DF">
        <w:rPr>
          <w:rFonts w:ascii="Arial" w:eastAsia="Calibri" w:hAnsi="Arial" w:cs="Arial"/>
          <w:b/>
          <w:bCs/>
          <w:szCs w:val="24"/>
        </w:rPr>
        <w:t>achowku: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a) została uregulowana w Kodeksie cywilnym;</w:t>
      </w:r>
    </w:p>
    <w:p w:rsid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b) </w:t>
      </w:r>
      <w:r w:rsidRPr="00F670DF">
        <w:rPr>
          <w:rFonts w:ascii="Arial" w:eastAsia="Calibri" w:hAnsi="Arial" w:cs="Arial"/>
          <w:bCs/>
          <w:szCs w:val="24"/>
        </w:rPr>
        <w:t xml:space="preserve">nie została uregulowana w Kodeksie cywilnym, natomiast została uregulowana w 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    odrębnej ustawie;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c) </w:t>
      </w:r>
      <w:r w:rsidRPr="00F670DF">
        <w:rPr>
          <w:rFonts w:ascii="Arial" w:eastAsia="Calibri" w:hAnsi="Arial" w:cs="Arial"/>
          <w:bCs/>
          <w:szCs w:val="24"/>
        </w:rPr>
        <w:t>jest niedopuszczalna w prawie polskim.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10. Zgodnie z Kodeksem postępowania cywilnego, sprawy o prawa majątkowe, w których wartość przedmiotu sporu przewyższa 100.000 złotych, oprócz spraw o alimenty, o naruszenie posiadania, o ustanowienie rozdzielności majątkowej między małżonkami oraz spraw rozpoznawanych w elektronicznym postępowaniu upominawczym, należą do właściwości jako sądu pierwszej instancji: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sądów rejonowych;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b) sądów okręgowych;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>sądów apelacyjnych.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szCs w:val="24"/>
          <w:lang w:val="en-US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11. Według Kodeksu postępowania cywilnego, w razie śmierci strony lub jej przedstawiciela ustawowego w toku postępowania: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a) sąd z urzędu zawiesza postępowanie;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Pr="00F670DF">
        <w:rPr>
          <w:rFonts w:ascii="Arial" w:eastAsia="Calibri" w:hAnsi="Arial" w:cs="Arial"/>
          <w:szCs w:val="24"/>
        </w:rPr>
        <w:t>sąd zawiesza postępowanie jedyn</w:t>
      </w:r>
      <w:r>
        <w:rPr>
          <w:rFonts w:ascii="Arial" w:eastAsia="Calibri" w:hAnsi="Arial" w:cs="Arial"/>
          <w:szCs w:val="24"/>
        </w:rPr>
        <w:t>ie na wniosek strony przeciwnej;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>sąd umarza postępowanie.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  <w:lang w:val="en-US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12. Zgodnie z Kodeksem postępowania cywilnego przewodniczący po przeprowadzeniu dowodów i udzieleniu głosu stronom: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a) zamyka rozprawę;</w:t>
      </w:r>
    </w:p>
    <w:p w:rsidR="00F670DF" w:rsidRPr="00F670DF" w:rsidRDefault="00F670DF" w:rsidP="00F670DF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zamyka rozprawę główną;</w:t>
      </w:r>
    </w:p>
    <w:p w:rsidR="00F670DF" w:rsidRPr="00F670DF" w:rsidRDefault="00F670DF" w:rsidP="00F670DF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Pr="00F670DF">
        <w:rPr>
          <w:rFonts w:ascii="Arial" w:eastAsia="Calibri" w:hAnsi="Arial" w:cs="Arial"/>
          <w:szCs w:val="24"/>
        </w:rPr>
        <w:t>zamyka posiedzenie.</w:t>
      </w:r>
    </w:p>
    <w:p w:rsidR="00F670DF" w:rsidRPr="00F670DF" w:rsidRDefault="00F670DF" w:rsidP="00F670DF">
      <w:pPr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 w:rsidRPr="00F670DF">
        <w:rPr>
          <w:rFonts w:ascii="Arial" w:eastAsia="Calibri" w:hAnsi="Arial" w:cs="Arial"/>
          <w:b/>
          <w:szCs w:val="24"/>
        </w:rPr>
        <w:t>13. Zgodnie z Kodeksem postępowania cywilnego</w:t>
      </w:r>
      <w:r>
        <w:rPr>
          <w:rFonts w:ascii="Arial" w:eastAsia="Calibri" w:hAnsi="Arial" w:cs="Arial"/>
          <w:b/>
          <w:szCs w:val="24"/>
        </w:rPr>
        <w:t>: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Pr="00F670DF">
        <w:rPr>
          <w:rFonts w:ascii="Arial" w:eastAsia="Calibri" w:hAnsi="Arial" w:cs="Arial"/>
          <w:color w:val="000000"/>
          <w:szCs w:val="24"/>
        </w:rPr>
        <w:t>sąd zawsze j</w:t>
      </w:r>
      <w:r>
        <w:rPr>
          <w:rFonts w:ascii="Arial" w:eastAsia="Calibri" w:hAnsi="Arial" w:cs="Arial"/>
          <w:color w:val="000000"/>
          <w:szCs w:val="24"/>
        </w:rPr>
        <w:t>est związany uznaniem powództwa;</w:t>
      </w:r>
    </w:p>
    <w:p w:rsidR="00F670DF" w:rsidRDefault="00F670DF" w:rsidP="00F670DF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F670DF">
        <w:rPr>
          <w:rFonts w:ascii="Arial" w:eastAsia="Calibri" w:hAnsi="Arial" w:cs="Arial"/>
          <w:b/>
          <w:color w:val="000000"/>
          <w:szCs w:val="24"/>
        </w:rPr>
        <w:t xml:space="preserve">b) sąd jest związany uznaniem powództwa, chyba że uznanie jest sprzeczne z </w:t>
      </w:r>
    </w:p>
    <w:p w:rsidR="00F670DF" w:rsidRDefault="00F670DF" w:rsidP="00F670DF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</w:t>
      </w:r>
      <w:r w:rsidRPr="00F670DF">
        <w:rPr>
          <w:rFonts w:ascii="Arial" w:eastAsia="Calibri" w:hAnsi="Arial" w:cs="Arial"/>
          <w:b/>
          <w:color w:val="000000"/>
          <w:szCs w:val="24"/>
        </w:rPr>
        <w:t>prawem lub zasadami współżycia społecznego</w:t>
      </w:r>
      <w:r>
        <w:rPr>
          <w:rFonts w:ascii="Arial" w:eastAsia="Calibri" w:hAnsi="Arial" w:cs="Arial"/>
          <w:b/>
          <w:color w:val="000000"/>
          <w:szCs w:val="24"/>
        </w:rPr>
        <w:t xml:space="preserve"> albo zmierza do obejścia 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prawa;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c) </w:t>
      </w:r>
      <w:r w:rsidRPr="00F670DF">
        <w:rPr>
          <w:rFonts w:ascii="Arial" w:eastAsia="Calibri" w:hAnsi="Arial" w:cs="Arial"/>
          <w:color w:val="000000"/>
          <w:szCs w:val="24"/>
        </w:rPr>
        <w:t xml:space="preserve">sąd nie jest związany uznaniem powództwa. </w:t>
      </w:r>
    </w:p>
    <w:p w:rsidR="00F670DF" w:rsidRPr="00F670DF" w:rsidRDefault="00F670DF" w:rsidP="00F670DF">
      <w:pPr>
        <w:spacing w:line="240" w:lineRule="auto"/>
        <w:jc w:val="left"/>
        <w:rPr>
          <w:rFonts w:ascii="Arial" w:eastAsia="Calibri" w:hAnsi="Arial" w:cs="Arial"/>
          <w:b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 w:rsidRPr="00F670DF">
        <w:rPr>
          <w:rFonts w:ascii="Arial" w:eastAsia="Calibri" w:hAnsi="Arial" w:cs="Arial"/>
          <w:b/>
          <w:szCs w:val="24"/>
        </w:rPr>
        <w:lastRenderedPageBreak/>
        <w:t>14. Zgodnie z Kodeksem postępowania cywilnego, jeżeli wyrok uwzględniający powództwo jest zaoczny i nadaje się do wykonania, wówczas Sąd: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Pr="00F670DF">
        <w:rPr>
          <w:rFonts w:ascii="Arial" w:eastAsia="Calibri" w:hAnsi="Arial" w:cs="Arial"/>
          <w:color w:val="000000"/>
          <w:szCs w:val="24"/>
        </w:rPr>
        <w:t>nie może nadać wyrokowi przy jego wydaniu rygoru natyc</w:t>
      </w:r>
      <w:r>
        <w:rPr>
          <w:rFonts w:ascii="Arial" w:eastAsia="Calibri" w:hAnsi="Arial" w:cs="Arial"/>
          <w:color w:val="000000"/>
          <w:szCs w:val="24"/>
        </w:rPr>
        <w:t>hmiastowej wykonalności;</w:t>
      </w:r>
    </w:p>
    <w:p w:rsidR="00F670DF" w:rsidRDefault="00F670DF" w:rsidP="00F670DF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b) </w:t>
      </w:r>
      <w:r w:rsidRPr="00F670DF">
        <w:rPr>
          <w:rFonts w:ascii="Arial" w:eastAsia="Calibri" w:hAnsi="Arial" w:cs="Arial"/>
          <w:color w:val="000000"/>
          <w:szCs w:val="24"/>
        </w:rPr>
        <w:t xml:space="preserve">może tylko na wniosek powoda nadać wyrokowi przy jego wydaniu rygor </w:t>
      </w:r>
    </w:p>
    <w:p w:rsidR="00F670DF" w:rsidRPr="00F670DF" w:rsidRDefault="00F670DF" w:rsidP="00F670DF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    natychmiastowej wykonalności;</w:t>
      </w:r>
    </w:p>
    <w:p w:rsidR="004E5DF6" w:rsidRDefault="00F670DF" w:rsidP="00F670DF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F670DF">
        <w:rPr>
          <w:rFonts w:ascii="Arial" w:eastAsia="Calibri" w:hAnsi="Arial" w:cs="Arial"/>
          <w:b/>
          <w:color w:val="000000"/>
          <w:szCs w:val="24"/>
        </w:rPr>
        <w:t xml:space="preserve">c) z urzędu nadaje wyrokowi przy jego wydaniu rygor natychmiastowej </w:t>
      </w:r>
    </w:p>
    <w:p w:rsidR="00F670DF" w:rsidRDefault="004E5DF6" w:rsidP="00F670DF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</w:t>
      </w:r>
      <w:r w:rsidR="00F670DF" w:rsidRPr="00F670DF">
        <w:rPr>
          <w:rFonts w:ascii="Arial" w:eastAsia="Calibri" w:hAnsi="Arial" w:cs="Arial"/>
          <w:b/>
          <w:color w:val="000000"/>
          <w:szCs w:val="24"/>
        </w:rPr>
        <w:t xml:space="preserve">wykonalności. </w:t>
      </w:r>
    </w:p>
    <w:p w:rsidR="004E5DF6" w:rsidRPr="00F670DF" w:rsidRDefault="004E5DF6" w:rsidP="00F670DF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  <w:lang w:val="en-US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 xml:space="preserve">15. </w:t>
      </w:r>
      <w:r w:rsidRPr="00F670DF">
        <w:rPr>
          <w:rFonts w:ascii="Arial" w:eastAsia="Calibri" w:hAnsi="Arial" w:cs="Arial"/>
          <w:b/>
          <w:szCs w:val="24"/>
        </w:rPr>
        <w:t>Zgodnie z Kodeksem postępowania cywilnego:</w:t>
      </w:r>
    </w:p>
    <w:p w:rsidR="00F670DF" w:rsidRPr="00F670DF" w:rsidRDefault="004E5DF6" w:rsidP="00F670DF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>świadek ni</w:t>
      </w:r>
      <w:r>
        <w:rPr>
          <w:rFonts w:ascii="Arial" w:eastAsia="Calibri" w:hAnsi="Arial" w:cs="Arial"/>
          <w:szCs w:val="24"/>
        </w:rPr>
        <w:t>e może składać zeznań na piśmie;</w:t>
      </w:r>
    </w:p>
    <w:p w:rsidR="00F670DF" w:rsidRPr="004E5DF6" w:rsidRDefault="004E5DF6" w:rsidP="00F670DF">
      <w:pPr>
        <w:spacing w:after="160" w:line="259" w:lineRule="auto"/>
        <w:contextualSpacing/>
        <w:rPr>
          <w:rFonts w:ascii="Arial" w:eastAsia="Calibri" w:hAnsi="Arial" w:cs="Arial"/>
          <w:b/>
          <w:szCs w:val="24"/>
        </w:rPr>
      </w:pPr>
      <w:r w:rsidRPr="004E5DF6">
        <w:rPr>
          <w:rFonts w:ascii="Arial" w:eastAsia="Calibri" w:hAnsi="Arial" w:cs="Arial"/>
          <w:b/>
          <w:szCs w:val="24"/>
        </w:rPr>
        <w:t xml:space="preserve">b) </w:t>
      </w:r>
      <w:r w:rsidR="00F670DF" w:rsidRPr="004E5DF6">
        <w:rPr>
          <w:rFonts w:ascii="Arial" w:eastAsia="Calibri" w:hAnsi="Arial" w:cs="Arial"/>
          <w:b/>
          <w:szCs w:val="24"/>
        </w:rPr>
        <w:t>świadek składa zeznanie na p</w:t>
      </w:r>
      <w:r w:rsidRPr="004E5DF6">
        <w:rPr>
          <w:rFonts w:ascii="Arial" w:eastAsia="Calibri" w:hAnsi="Arial" w:cs="Arial"/>
          <w:b/>
          <w:szCs w:val="24"/>
        </w:rPr>
        <w:t>iśmie, jeżeli sąd tak postanowi;</w:t>
      </w:r>
    </w:p>
    <w:p w:rsidR="004E5DF6" w:rsidRDefault="004E5DF6" w:rsidP="00F670DF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 xml:space="preserve">świadek składa zeznanie na piśmie, jeżeli sąd tak postanowi, ale tylko w </w:t>
      </w:r>
    </w:p>
    <w:p w:rsidR="00F670DF" w:rsidRPr="00F670DF" w:rsidRDefault="004E5DF6" w:rsidP="00F670DF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F670DF" w:rsidRPr="00F670DF">
        <w:rPr>
          <w:rFonts w:ascii="Arial" w:eastAsia="Calibri" w:hAnsi="Arial" w:cs="Arial"/>
          <w:szCs w:val="24"/>
        </w:rPr>
        <w:t>postępowaniu nieprocesowym.</w:t>
      </w:r>
    </w:p>
    <w:p w:rsid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</w:p>
    <w:p w:rsidR="004E5DF6" w:rsidRPr="00F670DF" w:rsidRDefault="004E5DF6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16. Zgodnie z Kodeksem postępowania cywilnego, nakaz zapłaty w postępowaniu nakazowym wydaje się:</w:t>
      </w:r>
    </w:p>
    <w:p w:rsidR="00F670DF" w:rsidRPr="00F670DF" w:rsidRDefault="004E5DF6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z urzędu;</w:t>
      </w:r>
    </w:p>
    <w:p w:rsidR="00F670DF" w:rsidRPr="004E5DF6" w:rsidRDefault="004E5DF6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4E5DF6">
        <w:rPr>
          <w:rFonts w:ascii="Arial" w:eastAsia="Calibri" w:hAnsi="Arial" w:cs="Arial"/>
          <w:b/>
          <w:szCs w:val="24"/>
        </w:rPr>
        <w:t xml:space="preserve">b) </w:t>
      </w:r>
      <w:r w:rsidR="00F670DF" w:rsidRPr="004E5DF6">
        <w:rPr>
          <w:rFonts w:ascii="Arial" w:eastAsia="Calibri" w:hAnsi="Arial" w:cs="Arial"/>
          <w:b/>
          <w:szCs w:val="24"/>
        </w:rPr>
        <w:t>na wn</w:t>
      </w:r>
      <w:r>
        <w:rPr>
          <w:rFonts w:ascii="Arial" w:eastAsia="Calibri" w:hAnsi="Arial" w:cs="Arial"/>
          <w:b/>
          <w:szCs w:val="24"/>
        </w:rPr>
        <w:t>iosek powoda zgłoszony w pozwie;</w:t>
      </w:r>
    </w:p>
    <w:p w:rsidR="00F670DF" w:rsidRDefault="004E5DF6" w:rsidP="00F670DF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na wniosek pozwanego zgłoszony w odpowiedzi na pozew.</w:t>
      </w:r>
    </w:p>
    <w:p w:rsidR="004E5DF6" w:rsidRPr="00F670DF" w:rsidRDefault="004E5DF6" w:rsidP="00F670DF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F670DF">
        <w:rPr>
          <w:rFonts w:ascii="Arial" w:eastAsia="Calibri" w:hAnsi="Arial" w:cs="Arial"/>
          <w:b/>
          <w:bCs/>
          <w:szCs w:val="24"/>
        </w:rPr>
        <w:t>17. Zgodnie z Kodeksem postępowania cywilnego, udzielenia zabezpieczenia można żądać:</w:t>
      </w:r>
    </w:p>
    <w:p w:rsidR="00A84F2C" w:rsidRDefault="004E5DF6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4E5DF6">
        <w:rPr>
          <w:rFonts w:ascii="Arial" w:eastAsia="Calibri" w:hAnsi="Arial" w:cs="Arial"/>
          <w:b/>
          <w:szCs w:val="24"/>
        </w:rPr>
        <w:t xml:space="preserve">a) </w:t>
      </w:r>
      <w:r w:rsidR="00F670DF" w:rsidRPr="004E5DF6">
        <w:rPr>
          <w:rFonts w:ascii="Arial" w:eastAsia="Calibri" w:hAnsi="Arial" w:cs="Arial"/>
          <w:b/>
          <w:szCs w:val="24"/>
        </w:rPr>
        <w:t xml:space="preserve">w każdej sprawie cywilnej podlegającej rozpoznaniu przez sąd lub sąd </w:t>
      </w:r>
      <w:r w:rsidR="00A84F2C">
        <w:rPr>
          <w:rFonts w:ascii="Arial" w:eastAsia="Calibri" w:hAnsi="Arial" w:cs="Arial"/>
          <w:b/>
          <w:szCs w:val="24"/>
        </w:rPr>
        <w:t xml:space="preserve"> </w:t>
      </w:r>
    </w:p>
    <w:p w:rsidR="00F670DF" w:rsidRPr="004E5DF6" w:rsidRDefault="00A84F2C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F670DF" w:rsidRPr="004E5DF6">
        <w:rPr>
          <w:rFonts w:ascii="Arial" w:eastAsia="Calibri" w:hAnsi="Arial" w:cs="Arial"/>
          <w:b/>
          <w:szCs w:val="24"/>
        </w:rPr>
        <w:t>polubowny</w:t>
      </w:r>
      <w:r w:rsidR="004E5DF6" w:rsidRPr="004E5DF6">
        <w:rPr>
          <w:rFonts w:ascii="Arial" w:eastAsia="Calibri" w:hAnsi="Arial" w:cs="Arial"/>
          <w:b/>
          <w:szCs w:val="24"/>
        </w:rPr>
        <w:t>;</w:t>
      </w:r>
    </w:p>
    <w:p w:rsidR="004E5DF6" w:rsidRDefault="004E5DF6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 xml:space="preserve">tylko i wyłącznie w sprawie cywilnej podlegającej rozpoznaniu w postępowaniu </w:t>
      </w:r>
    </w:p>
    <w:p w:rsidR="00F670DF" w:rsidRPr="00F670DF" w:rsidRDefault="004E5DF6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F670DF" w:rsidRPr="00F670DF">
        <w:rPr>
          <w:rFonts w:ascii="Arial" w:eastAsia="Calibri" w:hAnsi="Arial" w:cs="Arial"/>
          <w:szCs w:val="24"/>
        </w:rPr>
        <w:t>nieproc</w:t>
      </w:r>
      <w:r>
        <w:rPr>
          <w:rFonts w:ascii="Arial" w:eastAsia="Calibri" w:hAnsi="Arial" w:cs="Arial"/>
          <w:szCs w:val="24"/>
        </w:rPr>
        <w:t>esowym;</w:t>
      </w:r>
    </w:p>
    <w:p w:rsidR="004E5DF6" w:rsidRDefault="004E5DF6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 xml:space="preserve">tylko i wyłącznie w sprawie cywilnej podlegającej rozpoznaniu w postępowaniu </w:t>
      </w:r>
    </w:p>
    <w:p w:rsidR="00F670DF" w:rsidRPr="00F670DF" w:rsidRDefault="004E5DF6" w:rsidP="00F670DF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F670DF" w:rsidRPr="00F670DF">
        <w:rPr>
          <w:rFonts w:ascii="Arial" w:eastAsia="Calibri" w:hAnsi="Arial" w:cs="Arial"/>
          <w:szCs w:val="24"/>
        </w:rPr>
        <w:t>egzekucyjnym.</w:t>
      </w:r>
    </w:p>
    <w:p w:rsidR="00F670DF" w:rsidRPr="00F670DF" w:rsidRDefault="00F670DF" w:rsidP="00F670DF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F670DF" w:rsidRPr="00F670DF" w:rsidRDefault="00F670DF" w:rsidP="00F670DF">
      <w:pPr>
        <w:tabs>
          <w:tab w:val="left" w:pos="54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F670DF">
        <w:rPr>
          <w:rFonts w:ascii="Arial" w:eastAsia="Calibri" w:hAnsi="Arial" w:cs="Arial"/>
          <w:b/>
          <w:color w:val="000000"/>
          <w:szCs w:val="24"/>
        </w:rPr>
        <w:t>18. Zgodnie z Kodeksem postępowania cywilnego, w postępowaniu nieprocesowym od postanowień sądu pierwszej instancji orzekających co do istoty sprawy przysługuje:</w:t>
      </w:r>
    </w:p>
    <w:p w:rsidR="00F670DF" w:rsidRPr="004E5DF6" w:rsidRDefault="004E5DF6" w:rsidP="00F670DF">
      <w:pPr>
        <w:tabs>
          <w:tab w:val="num" w:pos="90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4E5DF6">
        <w:rPr>
          <w:rFonts w:ascii="Arial" w:eastAsia="Calibri" w:hAnsi="Arial" w:cs="Arial"/>
          <w:b/>
          <w:color w:val="000000"/>
          <w:szCs w:val="24"/>
        </w:rPr>
        <w:t>a) apelacja;</w:t>
      </w:r>
    </w:p>
    <w:p w:rsidR="00F670DF" w:rsidRPr="00F670DF" w:rsidRDefault="004E5DF6" w:rsidP="00F670DF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>b) skarga kasacyjna;</w:t>
      </w:r>
    </w:p>
    <w:p w:rsidR="00F670DF" w:rsidRDefault="004E5DF6" w:rsidP="00F670DF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c) </w:t>
      </w:r>
      <w:r w:rsidR="00F670DF" w:rsidRPr="00F670DF">
        <w:rPr>
          <w:rFonts w:ascii="Arial" w:eastAsia="Calibri" w:hAnsi="Arial" w:cs="Arial"/>
          <w:color w:val="000000"/>
          <w:szCs w:val="24"/>
        </w:rPr>
        <w:t>sprzeciw.</w:t>
      </w:r>
    </w:p>
    <w:p w:rsidR="004E5DF6" w:rsidRPr="00F670DF" w:rsidRDefault="004E5DF6" w:rsidP="00F670DF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  <w:u w:val="single"/>
        </w:rPr>
      </w:pPr>
      <w:r w:rsidRPr="004E5DF6">
        <w:rPr>
          <w:rFonts w:ascii="Arial" w:eastAsia="Calibri" w:hAnsi="Arial" w:cs="Arial"/>
          <w:b/>
          <w:szCs w:val="24"/>
        </w:rPr>
        <w:t xml:space="preserve">19. </w:t>
      </w:r>
      <w:r w:rsidR="00F670DF" w:rsidRPr="00F670DF">
        <w:rPr>
          <w:rFonts w:ascii="Arial" w:eastAsia="Calibri" w:hAnsi="Arial" w:cs="Arial"/>
          <w:b/>
          <w:szCs w:val="24"/>
        </w:rPr>
        <w:t>Na zasadach określonych w Kodeksie karnym odpowiada ten, kto popełnia czyn zabroniony po ukończeniu: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  <w:u w:val="single"/>
        </w:rPr>
      </w:pPr>
      <w:r>
        <w:rPr>
          <w:rFonts w:ascii="Arial" w:eastAsia="Calibri" w:hAnsi="Arial" w:cs="Arial"/>
          <w:szCs w:val="24"/>
        </w:rPr>
        <w:t>a) 15 lat;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4E5DF6">
        <w:rPr>
          <w:rFonts w:ascii="Arial" w:eastAsia="Calibri" w:hAnsi="Arial" w:cs="Arial"/>
          <w:b/>
          <w:szCs w:val="24"/>
        </w:rPr>
        <w:t xml:space="preserve">b) </w:t>
      </w:r>
      <w:r>
        <w:rPr>
          <w:rFonts w:ascii="Arial" w:eastAsia="Calibri" w:hAnsi="Arial" w:cs="Arial"/>
          <w:b/>
          <w:szCs w:val="24"/>
        </w:rPr>
        <w:t>17 lat;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18 lat.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4E5DF6">
        <w:rPr>
          <w:rFonts w:ascii="Arial" w:eastAsia="Calibri" w:hAnsi="Arial" w:cs="Arial"/>
          <w:b/>
          <w:szCs w:val="24"/>
        </w:rPr>
        <w:t xml:space="preserve">20. </w:t>
      </w:r>
      <w:r w:rsidR="00F670DF" w:rsidRPr="00F670DF">
        <w:rPr>
          <w:rFonts w:ascii="Arial" w:eastAsia="Calibri" w:hAnsi="Arial" w:cs="Arial"/>
          <w:b/>
          <w:szCs w:val="24"/>
        </w:rPr>
        <w:t>Jeżeli czyn wyczerpuje znamiona przestępstw określonych w dwóch albo więcej przepisów ustawy karnej, wymierzana jest kara na podstawie: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4E5DF6">
        <w:rPr>
          <w:rFonts w:ascii="Arial" w:eastAsia="Calibri" w:hAnsi="Arial" w:cs="Arial"/>
          <w:b/>
          <w:szCs w:val="24"/>
        </w:rPr>
        <w:t xml:space="preserve">a) </w:t>
      </w:r>
      <w:r w:rsidR="00F670DF" w:rsidRPr="00F670DF">
        <w:rPr>
          <w:rFonts w:ascii="Arial" w:eastAsia="Calibri" w:hAnsi="Arial" w:cs="Arial"/>
          <w:b/>
          <w:szCs w:val="24"/>
        </w:rPr>
        <w:t>przepisu, kt</w:t>
      </w:r>
      <w:r>
        <w:rPr>
          <w:rFonts w:ascii="Arial" w:eastAsia="Calibri" w:hAnsi="Arial" w:cs="Arial"/>
          <w:b/>
          <w:szCs w:val="24"/>
        </w:rPr>
        <w:t>óry przewiduje najsurowszą karę;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>wszyst</w:t>
      </w:r>
      <w:r>
        <w:rPr>
          <w:rFonts w:ascii="Arial" w:eastAsia="Calibri" w:hAnsi="Arial" w:cs="Arial"/>
          <w:szCs w:val="24"/>
        </w:rPr>
        <w:t>kich zbiegających się przepisów;</w:t>
      </w:r>
      <w:r w:rsidR="00F670DF" w:rsidRPr="00F670DF">
        <w:rPr>
          <w:rFonts w:ascii="Arial" w:eastAsia="Calibri" w:hAnsi="Arial" w:cs="Arial"/>
          <w:szCs w:val="24"/>
        </w:rPr>
        <w:t xml:space="preserve"> 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przepisu, który jako pierwszy został wskazany w kwalifikacji prawnej czynu.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4E5DF6">
        <w:rPr>
          <w:rFonts w:ascii="Arial" w:eastAsia="Calibri" w:hAnsi="Arial" w:cs="Arial"/>
          <w:b/>
          <w:color w:val="000000" w:themeColor="text1"/>
          <w:szCs w:val="24"/>
        </w:rPr>
        <w:lastRenderedPageBreak/>
        <w:t xml:space="preserve">21. </w:t>
      </w:r>
      <w:r w:rsidR="00F670DF" w:rsidRPr="00F670DF">
        <w:rPr>
          <w:rFonts w:ascii="Arial" w:eastAsia="Calibri" w:hAnsi="Arial" w:cs="Arial"/>
          <w:b/>
          <w:color w:val="000000" w:themeColor="text1"/>
          <w:szCs w:val="24"/>
        </w:rPr>
        <w:t>Zgodnie z Kodeksem karnym  odpowiada jak za jeden czyn zabroniony wyczerpujący znamiona przestępstwa ten, kto w krótkich odstępach czasu, przy wykorzystaniu tej samej albo takiej samej sposobności lub w podobny sposób popełnia dwa lub więcej umyślnych wykroczeń przeciwko mieniu: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4E5DF6">
        <w:rPr>
          <w:rFonts w:ascii="Arial" w:eastAsia="Calibri" w:hAnsi="Arial" w:cs="Arial"/>
          <w:color w:val="000000" w:themeColor="text1"/>
          <w:szCs w:val="24"/>
        </w:rPr>
        <w:t xml:space="preserve">a) </w:t>
      </w:r>
      <w:r w:rsidR="00F670DF" w:rsidRPr="00F670DF">
        <w:rPr>
          <w:rFonts w:ascii="Arial" w:eastAsia="Calibri" w:hAnsi="Arial" w:cs="Arial"/>
          <w:color w:val="000000" w:themeColor="text1"/>
          <w:szCs w:val="24"/>
        </w:rPr>
        <w:t>jeżeli przepis szczególny t</w:t>
      </w:r>
      <w:r w:rsidRPr="004E5DF6">
        <w:rPr>
          <w:rFonts w:ascii="Arial" w:eastAsia="Calibri" w:hAnsi="Arial" w:cs="Arial"/>
          <w:color w:val="000000" w:themeColor="text1"/>
          <w:szCs w:val="24"/>
        </w:rPr>
        <w:t>ak stanowi;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4E5DF6">
        <w:rPr>
          <w:rFonts w:ascii="Arial" w:eastAsia="Calibri" w:hAnsi="Arial" w:cs="Arial"/>
          <w:b/>
          <w:color w:val="000000" w:themeColor="text1"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color w:val="000000" w:themeColor="text1"/>
          <w:szCs w:val="24"/>
        </w:rPr>
        <w:t>jeżeli łączna wartość mienia uzasadnia od</w:t>
      </w:r>
      <w:r w:rsidRPr="004E5DF6">
        <w:rPr>
          <w:rFonts w:ascii="Arial" w:eastAsia="Calibri" w:hAnsi="Arial" w:cs="Arial"/>
          <w:b/>
          <w:color w:val="000000" w:themeColor="text1"/>
          <w:szCs w:val="24"/>
        </w:rPr>
        <w:t>powiedzialność za przestępstwo;</w:t>
      </w:r>
    </w:p>
    <w:p w:rsidR="004E5DF6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 w:rsidRPr="004E5DF6">
        <w:rPr>
          <w:rFonts w:ascii="Arial" w:eastAsia="Calibri" w:hAnsi="Arial" w:cs="Arial"/>
          <w:color w:val="000000" w:themeColor="text1"/>
          <w:szCs w:val="24"/>
        </w:rPr>
        <w:t xml:space="preserve">c) </w:t>
      </w:r>
      <w:r w:rsidR="00F670DF" w:rsidRPr="00F670DF">
        <w:rPr>
          <w:rFonts w:ascii="Arial" w:eastAsia="Calibri" w:hAnsi="Arial" w:cs="Arial"/>
          <w:color w:val="000000" w:themeColor="text1"/>
          <w:szCs w:val="24"/>
        </w:rPr>
        <w:t>jeżeli</w:t>
      </w:r>
      <w:r w:rsidR="00F670DF" w:rsidRPr="00F670DF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okoliczności sprawy oraz stopień rozwoju sprawcy, jego właściwości 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F670DF" w:rsidRPr="00F670DF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i warunki osobiste za tym przemawiają</w:t>
      </w:r>
      <w:r w:rsidR="00F670DF" w:rsidRPr="00F670DF">
        <w:rPr>
          <w:rFonts w:ascii="Arial" w:eastAsia="Calibri" w:hAnsi="Arial" w:cs="Arial"/>
          <w:color w:val="333333"/>
          <w:szCs w:val="24"/>
          <w:shd w:val="clear" w:color="auto" w:fill="FFFFFF"/>
        </w:rPr>
        <w:t>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4E5DF6">
        <w:rPr>
          <w:rFonts w:ascii="Arial" w:eastAsia="Calibri" w:hAnsi="Arial" w:cs="Arial"/>
          <w:b/>
          <w:szCs w:val="24"/>
        </w:rPr>
        <w:t xml:space="preserve">22. </w:t>
      </w:r>
      <w:r w:rsidR="00F670DF" w:rsidRPr="00F670DF">
        <w:rPr>
          <w:rFonts w:ascii="Arial" w:eastAsia="Calibri" w:hAnsi="Arial" w:cs="Arial"/>
          <w:b/>
          <w:szCs w:val="24"/>
        </w:rPr>
        <w:t>Zgodnie z Kodeksem karnym, czyn zabroniony, którego społeczna szkodliwość czynu jest znikoma: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 xml:space="preserve">stanowi przestępstwo, ale sąd może </w:t>
      </w:r>
      <w:r>
        <w:rPr>
          <w:rFonts w:ascii="Arial" w:eastAsia="Calibri" w:hAnsi="Arial" w:cs="Arial"/>
          <w:szCs w:val="24"/>
        </w:rPr>
        <w:t>warunkowo umorzyć postępowanie;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  <w:u w:val="single"/>
        </w:rPr>
      </w:pPr>
      <w:r w:rsidRPr="004E5DF6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>nie stanowi przestępstwa</w:t>
      </w:r>
      <w:r w:rsidRPr="004E5DF6">
        <w:rPr>
          <w:rFonts w:ascii="Arial" w:eastAsia="Calibri" w:hAnsi="Arial" w:cs="Arial"/>
          <w:b/>
          <w:szCs w:val="24"/>
        </w:rPr>
        <w:t>;</w:t>
      </w:r>
      <w:r w:rsidR="00F670DF" w:rsidRPr="00F670DF">
        <w:rPr>
          <w:rFonts w:ascii="Arial" w:eastAsia="Calibri" w:hAnsi="Arial" w:cs="Arial"/>
          <w:b/>
          <w:szCs w:val="24"/>
        </w:rPr>
        <w:t xml:space="preserve"> </w:t>
      </w:r>
    </w:p>
    <w:p w:rsidR="00F670DF" w:rsidRPr="00F670DF" w:rsidRDefault="004E5DF6" w:rsidP="004E5DF6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stanowi przestępstwo, ale sąd może odstąpić o</w:t>
      </w:r>
      <w:r w:rsidR="00BE21A7">
        <w:rPr>
          <w:rFonts w:ascii="Arial" w:eastAsia="Calibri" w:hAnsi="Arial" w:cs="Arial"/>
          <w:szCs w:val="24"/>
        </w:rPr>
        <w:t>d</w:t>
      </w:r>
      <w:r w:rsidR="00F670DF" w:rsidRPr="00F670DF">
        <w:rPr>
          <w:rFonts w:ascii="Arial" w:eastAsia="Calibri" w:hAnsi="Arial" w:cs="Arial"/>
          <w:szCs w:val="24"/>
        </w:rPr>
        <w:t xml:space="preserve"> wymierzenia kary.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23. </w:t>
      </w:r>
      <w:r w:rsidR="00F670DF" w:rsidRPr="00F670DF">
        <w:rPr>
          <w:rFonts w:ascii="Arial" w:eastAsia="Calibri" w:hAnsi="Arial" w:cs="Arial"/>
          <w:b/>
          <w:szCs w:val="24"/>
        </w:rPr>
        <w:t>Wyrokiem nakazowym w postępowaniu karnym można orzec</w:t>
      </w:r>
      <w:r w:rsidR="00F670DF" w:rsidRPr="00F670DF">
        <w:rPr>
          <w:rFonts w:ascii="Arial" w:eastAsia="Calibri" w:hAnsi="Arial" w:cs="Arial"/>
          <w:szCs w:val="24"/>
        </w:rPr>
        <w:t>: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>karę grzywny w wys</w:t>
      </w:r>
      <w:r>
        <w:rPr>
          <w:rFonts w:ascii="Arial" w:eastAsia="Calibri" w:hAnsi="Arial" w:cs="Arial"/>
          <w:szCs w:val="24"/>
        </w:rPr>
        <w:t>okości do 400 stawek dziennych;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>karę grzywny w wy</w:t>
      </w:r>
      <w:r>
        <w:rPr>
          <w:rFonts w:ascii="Arial" w:eastAsia="Calibri" w:hAnsi="Arial" w:cs="Arial"/>
          <w:b/>
          <w:szCs w:val="24"/>
        </w:rPr>
        <w:t>sokości do 200 stawek dziennych;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karę grzywny w wysokości do 300 stawek dziennych</w:t>
      </w:r>
      <w:r>
        <w:rPr>
          <w:rFonts w:ascii="Arial" w:eastAsia="Calibri" w:hAnsi="Arial" w:cs="Arial"/>
          <w:szCs w:val="24"/>
        </w:rPr>
        <w:t>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24. </w:t>
      </w:r>
      <w:r w:rsidR="00F670DF" w:rsidRPr="00F670DF">
        <w:rPr>
          <w:rFonts w:ascii="Arial" w:eastAsia="Calibri" w:hAnsi="Arial" w:cs="Arial"/>
          <w:b/>
          <w:szCs w:val="24"/>
        </w:rPr>
        <w:t>Zgodnie z Kodeksem karnym warunkowo umorzonego postępowania nie można podjąć: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 xml:space="preserve">po upływie 1 roku od daty uprawomocnienia się orzeczenia warunkowo </w:t>
      </w:r>
      <w:r>
        <w:rPr>
          <w:rFonts w:ascii="Arial" w:eastAsia="Calibri" w:hAnsi="Arial" w:cs="Arial"/>
          <w:szCs w:val="24"/>
        </w:rPr>
        <w:br/>
        <w:t xml:space="preserve">    </w:t>
      </w:r>
      <w:r w:rsidR="00F670DF" w:rsidRPr="00F670DF">
        <w:rPr>
          <w:rFonts w:ascii="Arial" w:eastAsia="Calibri" w:hAnsi="Arial" w:cs="Arial"/>
          <w:szCs w:val="24"/>
        </w:rPr>
        <w:t>umarzającego postępowanie;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>później niż w ciągu 6 miesi</w:t>
      </w:r>
      <w:r>
        <w:rPr>
          <w:rFonts w:ascii="Arial" w:eastAsia="Calibri" w:hAnsi="Arial" w:cs="Arial"/>
          <w:b/>
          <w:szCs w:val="24"/>
        </w:rPr>
        <w:t>ęcy od zakończenia okresu próby;</w:t>
      </w:r>
    </w:p>
    <w:p w:rsidR="00733FC7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 xml:space="preserve">po upływie 1 roku od daty wydania orzeczenia warunkowo umarzającego 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postępowanie.</w:t>
      </w:r>
    </w:p>
    <w:p w:rsidR="00F670DF" w:rsidRPr="00F670DF" w:rsidRDefault="00F670DF" w:rsidP="00F670DF">
      <w:pPr>
        <w:spacing w:after="160" w:line="259" w:lineRule="auto"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25. </w:t>
      </w:r>
      <w:r w:rsidR="00F670DF" w:rsidRPr="00F670DF">
        <w:rPr>
          <w:rFonts w:ascii="Arial" w:eastAsia="Calibri" w:hAnsi="Arial" w:cs="Arial"/>
          <w:b/>
          <w:szCs w:val="24"/>
        </w:rPr>
        <w:t>Wyrok nakazowy może zostać zaskarżony:</w:t>
      </w:r>
    </w:p>
    <w:p w:rsidR="00733FC7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 xml:space="preserve">apelacją – wnoszoną w terminie 7 dni od daty doręczenia odpisu wyroku 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nakazowego;</w:t>
      </w:r>
    </w:p>
    <w:p w:rsidR="00733FC7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 xml:space="preserve">zażaleniem – wnoszonym w terminie 7 dni od daty doręczenia odpisu wyroku 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nakazowego;</w:t>
      </w:r>
      <w:r w:rsidR="00F670DF" w:rsidRPr="00F670DF">
        <w:rPr>
          <w:rFonts w:ascii="Arial" w:eastAsia="Calibri" w:hAnsi="Arial" w:cs="Arial"/>
          <w:szCs w:val="24"/>
        </w:rPr>
        <w:t xml:space="preserve"> </w:t>
      </w:r>
    </w:p>
    <w:p w:rsidR="00733FC7" w:rsidRPr="00733FC7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c) </w:t>
      </w:r>
      <w:r w:rsidR="00F670DF" w:rsidRPr="00F670DF">
        <w:rPr>
          <w:rFonts w:ascii="Arial" w:eastAsia="Calibri" w:hAnsi="Arial" w:cs="Arial"/>
          <w:b/>
          <w:szCs w:val="24"/>
        </w:rPr>
        <w:t xml:space="preserve">sprzeciwem – wnoszonym w terminie 7 dni od daty doręczenia odpisu 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    </w:t>
      </w:r>
      <w:r w:rsidR="00F670DF" w:rsidRPr="00F670DF">
        <w:rPr>
          <w:rFonts w:ascii="Arial" w:eastAsia="Calibri" w:hAnsi="Arial" w:cs="Arial"/>
          <w:b/>
          <w:szCs w:val="24"/>
        </w:rPr>
        <w:t>wyroku nakazowego.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  <w:u w:val="single"/>
        </w:rPr>
      </w:pP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26. </w:t>
      </w:r>
      <w:r w:rsidR="00F670DF" w:rsidRPr="00F670DF">
        <w:rPr>
          <w:rFonts w:ascii="Arial" w:eastAsia="Calibri" w:hAnsi="Arial" w:cs="Arial"/>
          <w:b/>
          <w:szCs w:val="24"/>
        </w:rPr>
        <w:t>Zgodnie z Kodeksem postępowania karnego, w przedmiocie warunkowego umorzenia postępowania sąd orzeka: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>wyłącznie n</w:t>
      </w:r>
      <w:r>
        <w:rPr>
          <w:rFonts w:ascii="Arial" w:eastAsia="Calibri" w:hAnsi="Arial" w:cs="Arial"/>
          <w:szCs w:val="24"/>
        </w:rPr>
        <w:t>a posiedzeniu – postanowieniem;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>na posiedzeniu – postanowien</w:t>
      </w:r>
      <w:r>
        <w:rPr>
          <w:rFonts w:ascii="Arial" w:eastAsia="Calibri" w:hAnsi="Arial" w:cs="Arial"/>
          <w:szCs w:val="24"/>
        </w:rPr>
        <w:t>iem, a na rozprawie – wyrokiem;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c) </w:t>
      </w:r>
      <w:r w:rsidR="00F670DF" w:rsidRPr="00F670DF">
        <w:rPr>
          <w:rFonts w:ascii="Arial" w:eastAsia="Calibri" w:hAnsi="Arial" w:cs="Arial"/>
          <w:b/>
          <w:szCs w:val="24"/>
        </w:rPr>
        <w:t>na posiedzeniu albo na rozprawie – wyrokiem.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b/>
          <w:szCs w:val="24"/>
          <w:u w:val="single"/>
        </w:rPr>
      </w:pP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27. </w:t>
      </w:r>
      <w:r w:rsidR="00F670DF" w:rsidRPr="00F670DF">
        <w:rPr>
          <w:rFonts w:ascii="Arial" w:eastAsia="Calibri" w:hAnsi="Arial" w:cs="Arial"/>
          <w:b/>
          <w:szCs w:val="24"/>
        </w:rPr>
        <w:t>Zgodnie z Kodeksem postępowania karnego na postanowienie Prokuratora o zastosowaniu środka zapobiegawczego w postaci dozoru Policji przysługuje zażalenie do: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prokuratora nadrzędnego;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>sądu rejonowego, w którego o</w:t>
      </w:r>
      <w:r>
        <w:rPr>
          <w:rFonts w:ascii="Arial" w:eastAsia="Calibri" w:hAnsi="Arial" w:cs="Arial"/>
          <w:b/>
          <w:szCs w:val="24"/>
        </w:rPr>
        <w:t>kręgu prowadzi się postępowanie;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sądu okręgowego, w którego okręgu prowadzi się postępowanie.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28. </w:t>
      </w:r>
      <w:r w:rsidR="00F670DF" w:rsidRPr="00F670DF">
        <w:rPr>
          <w:rFonts w:ascii="Arial" w:eastAsia="Calibri" w:hAnsi="Arial" w:cs="Arial"/>
          <w:b/>
          <w:szCs w:val="24"/>
        </w:rPr>
        <w:t>Zgodnie z Kodeksem postępowania karnego sąd może odroczyć wydanie wyroku:</w:t>
      </w:r>
    </w:p>
    <w:p w:rsidR="00733FC7" w:rsidRPr="00733FC7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a) </w:t>
      </w:r>
      <w:r w:rsidR="00F670DF" w:rsidRPr="00F670DF">
        <w:rPr>
          <w:rFonts w:ascii="Arial" w:eastAsia="Calibri" w:hAnsi="Arial" w:cs="Arial"/>
          <w:b/>
          <w:szCs w:val="24"/>
        </w:rPr>
        <w:t xml:space="preserve">w sprawie zawiłej lub z innych ważnych powodów na czas 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>nieprzekraczających 14 dni;</w:t>
      </w:r>
    </w:p>
    <w:p w:rsidR="00733FC7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 xml:space="preserve">w sprawie zawiłej lub z innych ważnych powodów na czas nieprzekraczających 30 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dni;</w:t>
      </w:r>
    </w:p>
    <w:p w:rsidR="00733FC7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 xml:space="preserve">w sprawie zawiłej lub z innych ważnych powodów na czas nieprzekraczających 21 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F670DF" w:rsidRPr="00F670DF">
        <w:rPr>
          <w:rFonts w:ascii="Arial" w:eastAsia="Calibri" w:hAnsi="Arial" w:cs="Arial"/>
          <w:szCs w:val="24"/>
        </w:rPr>
        <w:t>dni.</w:t>
      </w:r>
    </w:p>
    <w:p w:rsid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733FC7" w:rsidRPr="00F670DF" w:rsidRDefault="00733FC7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29. </w:t>
      </w:r>
      <w:r w:rsidR="00F670DF" w:rsidRPr="00F670DF">
        <w:rPr>
          <w:rFonts w:ascii="Arial" w:eastAsia="Calibri" w:hAnsi="Arial" w:cs="Arial"/>
          <w:b/>
          <w:szCs w:val="24"/>
        </w:rPr>
        <w:t>Zgodnie z Kodeksem postępowania karnego, od orzeczenia sądu odwoławczego uchylającego wyrok sądu I instancji i przekazującego sprawę do ponownego rozpoznania stronom przysługuje: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a) </w:t>
      </w:r>
      <w:r>
        <w:rPr>
          <w:rFonts w:ascii="Arial" w:eastAsia="Calibri" w:hAnsi="Arial" w:cs="Arial"/>
          <w:b/>
          <w:szCs w:val="24"/>
        </w:rPr>
        <w:t>skarga do Sądu Najwyższego;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>skarga</w:t>
      </w:r>
      <w:r>
        <w:rPr>
          <w:rFonts w:ascii="Arial" w:eastAsia="Calibri" w:hAnsi="Arial" w:cs="Arial"/>
          <w:szCs w:val="24"/>
        </w:rPr>
        <w:t xml:space="preserve"> kasacyjna do Sądu Najwyższego;</w:t>
      </w:r>
    </w:p>
    <w:p w:rsidR="00F670DF" w:rsidRPr="00F670DF" w:rsidRDefault="00733FC7" w:rsidP="00733FC7">
      <w:pPr>
        <w:spacing w:after="160" w:line="259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zażalenie do Sądu Najwyższego.</w:t>
      </w:r>
    </w:p>
    <w:p w:rsid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733FC7" w:rsidRPr="00F670DF" w:rsidRDefault="00733FC7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30. </w:t>
      </w:r>
      <w:r w:rsidR="00F670DF" w:rsidRPr="00F670DF">
        <w:rPr>
          <w:rFonts w:ascii="Arial" w:eastAsia="Calibri" w:hAnsi="Arial" w:cs="Arial"/>
          <w:b/>
          <w:szCs w:val="24"/>
        </w:rPr>
        <w:t>Termin do złożenia wniosku o przywrócenie terminu zawitego: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>w</w:t>
      </w:r>
      <w:r w:rsidR="007272EC">
        <w:rPr>
          <w:rFonts w:ascii="Arial" w:eastAsia="Calibri" w:hAnsi="Arial" w:cs="Arial"/>
          <w:szCs w:val="24"/>
        </w:rPr>
        <w:t>y</w:t>
      </w:r>
      <w:r w:rsidR="00F670DF" w:rsidRPr="00F670DF">
        <w:rPr>
          <w:rFonts w:ascii="Arial" w:eastAsia="Calibri" w:hAnsi="Arial" w:cs="Arial"/>
          <w:szCs w:val="24"/>
        </w:rPr>
        <w:t>nosi 7 dni i biegnie od daty uprawomocnienia się orzeczenia;</w:t>
      </w:r>
    </w:p>
    <w:p w:rsidR="00733FC7" w:rsidRP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>w</w:t>
      </w:r>
      <w:r w:rsidR="007272EC">
        <w:rPr>
          <w:rFonts w:ascii="Arial" w:eastAsia="Calibri" w:hAnsi="Arial" w:cs="Arial"/>
          <w:b/>
          <w:szCs w:val="24"/>
        </w:rPr>
        <w:t>y</w:t>
      </w:r>
      <w:r w:rsidR="00F670DF" w:rsidRPr="00F670DF">
        <w:rPr>
          <w:rFonts w:ascii="Arial" w:eastAsia="Calibri" w:hAnsi="Arial" w:cs="Arial"/>
          <w:b/>
          <w:szCs w:val="24"/>
        </w:rPr>
        <w:t xml:space="preserve">nosi 7 dni i biegnie od daty ustania przeszkody uniemożliwiającej 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    </w:t>
      </w:r>
      <w:r w:rsidR="00F670DF" w:rsidRPr="00F670DF">
        <w:rPr>
          <w:rFonts w:ascii="Arial" w:eastAsia="Calibri" w:hAnsi="Arial" w:cs="Arial"/>
          <w:b/>
          <w:szCs w:val="24"/>
        </w:rPr>
        <w:t>dokonanie czynności w terminie;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w</w:t>
      </w:r>
      <w:r w:rsidR="007272EC">
        <w:rPr>
          <w:rFonts w:ascii="Arial" w:eastAsia="Calibri" w:hAnsi="Arial" w:cs="Arial"/>
          <w:szCs w:val="24"/>
        </w:rPr>
        <w:t>y</w:t>
      </w:r>
      <w:r w:rsidR="00F670DF" w:rsidRPr="00F670DF">
        <w:rPr>
          <w:rFonts w:ascii="Arial" w:eastAsia="Calibri" w:hAnsi="Arial" w:cs="Arial"/>
          <w:szCs w:val="24"/>
        </w:rPr>
        <w:t>nosi 7 dni i biegnie od daty rozpoczęcia wykonywania orzeczonej kary.</w:t>
      </w:r>
    </w:p>
    <w:p w:rsid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b/>
          <w:szCs w:val="24"/>
          <w:u w:val="single"/>
        </w:rPr>
      </w:pPr>
    </w:p>
    <w:p w:rsidR="00733FC7" w:rsidRPr="00F670DF" w:rsidRDefault="00733FC7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b/>
          <w:szCs w:val="24"/>
          <w:u w:val="single"/>
        </w:rPr>
      </w:pP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31. </w:t>
      </w:r>
      <w:r w:rsidR="00F670DF" w:rsidRPr="00F670DF">
        <w:rPr>
          <w:rFonts w:ascii="Arial" w:eastAsia="Calibri" w:hAnsi="Arial" w:cs="Arial"/>
          <w:b/>
          <w:szCs w:val="24"/>
        </w:rPr>
        <w:t>Karą łączną orzekaną w wyroku łącznym można połączyć: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a) </w:t>
      </w:r>
      <w:r w:rsidR="00F670DF" w:rsidRPr="00F670DF">
        <w:rPr>
          <w:rFonts w:ascii="Arial" w:eastAsia="Calibri" w:hAnsi="Arial" w:cs="Arial"/>
          <w:b/>
          <w:szCs w:val="24"/>
        </w:rPr>
        <w:t>tylko kary orzeczone przez sądy polskie;</w:t>
      </w:r>
    </w:p>
    <w:p w:rsid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 xml:space="preserve">kary orzeczone przez sądy polskie oraz kary orzeczone przez sądy państw Unii 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F670DF" w:rsidRPr="00F670DF">
        <w:rPr>
          <w:rFonts w:ascii="Arial" w:eastAsia="Calibri" w:hAnsi="Arial" w:cs="Arial"/>
          <w:szCs w:val="24"/>
        </w:rPr>
        <w:t>Europejskiej;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wszystkie kary; niezależnie czy orzeczone przez polskie czy zagraniczne sądy.</w:t>
      </w:r>
    </w:p>
    <w:p w:rsidR="00F670DF" w:rsidRDefault="00F670DF" w:rsidP="00F670DF">
      <w:pPr>
        <w:spacing w:after="200" w:line="276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733FC7" w:rsidRPr="00F670DF" w:rsidRDefault="00733FC7" w:rsidP="00F670DF">
      <w:pPr>
        <w:spacing w:after="200" w:line="276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  <w:shd w:val="clear" w:color="auto" w:fill="FFFFFF"/>
        </w:rPr>
        <w:t xml:space="preserve">32. </w:t>
      </w:r>
      <w:r w:rsidR="00F670DF" w:rsidRPr="00F670DF">
        <w:rPr>
          <w:rFonts w:ascii="Arial" w:eastAsia="Calibri" w:hAnsi="Arial" w:cs="Arial"/>
          <w:b/>
          <w:szCs w:val="24"/>
          <w:shd w:val="clear" w:color="auto" w:fill="FFFFFF"/>
        </w:rPr>
        <w:t>Jeżeli przestępstwo jest zagrożone tylko karą pozbawienia wolności nieprzekraczającą 8 lat, a wymierzona za nie kara pozbawienia wolności nie byłaby surowsza od roku, sąd może:</w:t>
      </w:r>
    </w:p>
    <w:p w:rsid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  <w:shd w:val="clear" w:color="auto" w:fill="FFFFFF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a) </w:t>
      </w:r>
      <w:r w:rsidR="00F670DF" w:rsidRPr="00F670DF">
        <w:rPr>
          <w:rFonts w:ascii="Arial" w:eastAsia="Calibri" w:hAnsi="Arial" w:cs="Arial"/>
          <w:szCs w:val="24"/>
          <w:shd w:val="clear" w:color="auto" w:fill="FFFFFF"/>
        </w:rPr>
        <w:t xml:space="preserve">zamiast tej kary orzec karę ograniczenia wolności nie niższą od 6 miesięcy, jeżeli 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    </w:t>
      </w:r>
      <w:r w:rsidR="00F670DF" w:rsidRPr="00F670DF">
        <w:rPr>
          <w:rFonts w:ascii="Arial" w:eastAsia="Calibri" w:hAnsi="Arial" w:cs="Arial"/>
          <w:szCs w:val="24"/>
          <w:shd w:val="clear" w:color="auto" w:fill="FFFFFF"/>
        </w:rPr>
        <w:t xml:space="preserve">równocześnie orzeka środek karny, środek kompensacyjny lub </w:t>
      </w:r>
      <w:r>
        <w:rPr>
          <w:rFonts w:ascii="Arial" w:eastAsia="Calibri" w:hAnsi="Arial" w:cs="Arial"/>
          <w:szCs w:val="24"/>
          <w:shd w:val="clear" w:color="auto" w:fill="FFFFFF"/>
        </w:rPr>
        <w:t>przepadek;</w:t>
      </w:r>
    </w:p>
    <w:p w:rsidR="00733FC7" w:rsidRP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  <w:shd w:val="clear" w:color="auto" w:fill="FFFFFF"/>
        </w:rPr>
      </w:pPr>
      <w:r w:rsidRPr="00733FC7">
        <w:rPr>
          <w:rFonts w:ascii="Arial" w:eastAsia="Calibri" w:hAnsi="Arial" w:cs="Arial"/>
          <w:b/>
          <w:szCs w:val="24"/>
          <w:shd w:val="clear" w:color="auto" w:fill="FFFFFF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  <w:shd w:val="clear" w:color="auto" w:fill="FFFFFF"/>
        </w:rPr>
        <w:t xml:space="preserve">zamiast tej kary orzec karę ograniczenia wolności nie niższą od 4 miesięcy </w:t>
      </w:r>
    </w:p>
    <w:p w:rsidR="00733FC7" w:rsidRP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  <w:shd w:val="clear" w:color="auto" w:fill="FFFFFF"/>
        </w:rPr>
      </w:pPr>
      <w:r w:rsidRPr="00733FC7">
        <w:rPr>
          <w:rFonts w:ascii="Arial" w:eastAsia="Calibri" w:hAnsi="Arial" w:cs="Arial"/>
          <w:b/>
          <w:szCs w:val="24"/>
          <w:shd w:val="clear" w:color="auto" w:fill="FFFFFF"/>
        </w:rPr>
        <w:t xml:space="preserve">    </w:t>
      </w:r>
      <w:r w:rsidR="00F670DF" w:rsidRPr="00F670DF">
        <w:rPr>
          <w:rFonts w:ascii="Arial" w:eastAsia="Calibri" w:hAnsi="Arial" w:cs="Arial"/>
          <w:b/>
          <w:szCs w:val="24"/>
          <w:shd w:val="clear" w:color="auto" w:fill="FFFFFF"/>
        </w:rPr>
        <w:t xml:space="preserve">albo grzywnę nie niższą od 150 stawek dziennych, w szczególności jeżeli 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  <w:shd w:val="clear" w:color="auto" w:fill="FFFFFF"/>
        </w:rPr>
        <w:t xml:space="preserve">    </w:t>
      </w:r>
      <w:r w:rsidR="00F670DF" w:rsidRPr="00F670DF">
        <w:rPr>
          <w:rFonts w:ascii="Arial" w:eastAsia="Calibri" w:hAnsi="Arial" w:cs="Arial"/>
          <w:b/>
          <w:szCs w:val="24"/>
          <w:shd w:val="clear" w:color="auto" w:fill="FFFFFF"/>
        </w:rPr>
        <w:t>równocześnie orzeka środek karny, śro</w:t>
      </w:r>
      <w:r>
        <w:rPr>
          <w:rFonts w:ascii="Arial" w:eastAsia="Calibri" w:hAnsi="Arial" w:cs="Arial"/>
          <w:b/>
          <w:szCs w:val="24"/>
          <w:shd w:val="clear" w:color="auto" w:fill="FFFFFF"/>
        </w:rPr>
        <w:t>dek kompensacyjny lub przepadek;</w:t>
      </w:r>
    </w:p>
    <w:p w:rsid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  <w:shd w:val="clear" w:color="auto" w:fill="FFFFFF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c) </w:t>
      </w:r>
      <w:r w:rsidR="00F670DF" w:rsidRPr="00F670DF">
        <w:rPr>
          <w:rFonts w:ascii="Arial" w:eastAsia="Calibri" w:hAnsi="Arial" w:cs="Arial"/>
          <w:szCs w:val="24"/>
          <w:shd w:val="clear" w:color="auto" w:fill="FFFFFF"/>
        </w:rPr>
        <w:t xml:space="preserve">zamiast tej kary orzec karę ograniczenia wolności nie niższą od 3 miesięcy albo </w:t>
      </w:r>
    </w:p>
    <w:p w:rsid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  <w:shd w:val="clear" w:color="auto" w:fill="FFFFFF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    </w:t>
      </w:r>
      <w:r w:rsidR="00F670DF" w:rsidRPr="00F670DF">
        <w:rPr>
          <w:rFonts w:ascii="Arial" w:eastAsia="Calibri" w:hAnsi="Arial" w:cs="Arial"/>
          <w:szCs w:val="24"/>
          <w:shd w:val="clear" w:color="auto" w:fill="FFFFFF"/>
        </w:rPr>
        <w:t xml:space="preserve">grzywnę nie niższą od 100 stawek dziennych, jeżeli równocześnie orzeka środek 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    </w:t>
      </w:r>
      <w:r w:rsidR="00F670DF" w:rsidRPr="00F670DF">
        <w:rPr>
          <w:rFonts w:ascii="Arial" w:eastAsia="Calibri" w:hAnsi="Arial" w:cs="Arial"/>
          <w:szCs w:val="24"/>
          <w:shd w:val="clear" w:color="auto" w:fill="FFFFFF"/>
        </w:rPr>
        <w:t>karny, środek kompensacyjny lub przepadek.</w:t>
      </w:r>
    </w:p>
    <w:p w:rsidR="00F670DF" w:rsidRDefault="00F670DF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733FC7" w:rsidRPr="00F670DF" w:rsidRDefault="00733FC7" w:rsidP="00F670DF">
      <w:pPr>
        <w:spacing w:after="160" w:line="259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 w:rsidRPr="00733FC7">
        <w:rPr>
          <w:rFonts w:ascii="Arial" w:eastAsia="Calibri" w:hAnsi="Arial" w:cs="Arial"/>
          <w:b/>
          <w:szCs w:val="24"/>
        </w:rPr>
        <w:lastRenderedPageBreak/>
        <w:t xml:space="preserve">33. </w:t>
      </w:r>
      <w:r w:rsidR="00F670DF" w:rsidRPr="00F670DF">
        <w:rPr>
          <w:rFonts w:ascii="Arial" w:eastAsia="Calibri" w:hAnsi="Arial" w:cs="Arial"/>
          <w:b/>
          <w:szCs w:val="24"/>
        </w:rPr>
        <w:t xml:space="preserve">Sąd może warunkowo zawiesić wykonanie kary pozbawienia wolności, </w:t>
      </w:r>
      <w:r w:rsidR="001E6F2A">
        <w:rPr>
          <w:rFonts w:ascii="Arial" w:eastAsia="Calibri" w:hAnsi="Arial" w:cs="Arial"/>
          <w:b/>
          <w:szCs w:val="24"/>
        </w:rPr>
        <w:t>jeżel</w:t>
      </w:r>
      <w:r w:rsidR="00F670DF" w:rsidRPr="00F670DF">
        <w:rPr>
          <w:rFonts w:ascii="Arial" w:eastAsia="Calibri" w:hAnsi="Arial" w:cs="Arial"/>
          <w:b/>
          <w:szCs w:val="24"/>
        </w:rPr>
        <w:t>i</w:t>
      </w:r>
      <w:r w:rsidR="00F670DF" w:rsidRPr="00F670DF">
        <w:rPr>
          <w:rFonts w:ascii="Arial" w:eastAsia="Calibri" w:hAnsi="Arial" w:cs="Arial"/>
          <w:szCs w:val="24"/>
        </w:rPr>
        <w:t>:</w:t>
      </w:r>
    </w:p>
    <w:p w:rsid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 xml:space="preserve">orzeczono karę pozbawienia wolności w wymiarze nieprzekraczającym 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dwóch lat;</w:t>
      </w:r>
      <w:r w:rsidR="00F670DF" w:rsidRPr="00F670DF">
        <w:rPr>
          <w:rFonts w:ascii="Arial" w:eastAsia="Calibri" w:hAnsi="Arial" w:cs="Arial"/>
          <w:szCs w:val="24"/>
        </w:rPr>
        <w:t xml:space="preserve"> </w:t>
      </w:r>
    </w:p>
    <w:p w:rsidR="00733FC7" w:rsidRPr="00733FC7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 xml:space="preserve">sprawca w czasie popełnienia przestępstwa nie był skazany na karę 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    </w:t>
      </w:r>
      <w:r w:rsidR="00F670DF" w:rsidRPr="00F670DF">
        <w:rPr>
          <w:rFonts w:ascii="Arial" w:eastAsia="Calibri" w:hAnsi="Arial" w:cs="Arial"/>
          <w:b/>
          <w:szCs w:val="24"/>
        </w:rPr>
        <w:t>pozbawienia wolności;</w:t>
      </w: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>sprawca w czasie popełnienia przestępstwa był osobą niekaraną.</w:t>
      </w:r>
    </w:p>
    <w:p w:rsidR="00F670DF" w:rsidRPr="00F670DF" w:rsidRDefault="00F670DF" w:rsidP="00F670DF">
      <w:pPr>
        <w:spacing w:after="200" w:line="276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F670DF" w:rsidRPr="00F670DF" w:rsidRDefault="00733FC7" w:rsidP="00733FC7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33FC7">
        <w:rPr>
          <w:rFonts w:ascii="Arial" w:eastAsia="Calibri" w:hAnsi="Arial" w:cs="Arial"/>
          <w:b/>
          <w:szCs w:val="24"/>
        </w:rPr>
        <w:t xml:space="preserve">34. </w:t>
      </w:r>
      <w:r w:rsidR="00F670DF" w:rsidRPr="00F670DF">
        <w:rPr>
          <w:rFonts w:ascii="Arial" w:eastAsia="Calibri" w:hAnsi="Arial" w:cs="Arial"/>
          <w:b/>
          <w:szCs w:val="24"/>
        </w:rPr>
        <w:t>W postępowaniu karnym oskarżony może korzystać z pomocy obr</w:t>
      </w:r>
      <w:r w:rsidR="00BE21A7">
        <w:rPr>
          <w:rFonts w:ascii="Arial" w:eastAsia="Calibri" w:hAnsi="Arial" w:cs="Arial"/>
          <w:b/>
          <w:szCs w:val="24"/>
        </w:rPr>
        <w:t>ońcy. Czy przepisy kodeksu postę</w:t>
      </w:r>
      <w:r w:rsidR="00F670DF" w:rsidRPr="00F670DF">
        <w:rPr>
          <w:rFonts w:ascii="Arial" w:eastAsia="Calibri" w:hAnsi="Arial" w:cs="Arial"/>
          <w:b/>
          <w:szCs w:val="24"/>
        </w:rPr>
        <w:t>powania karnego ograniczają ilość obrońców, która w jednym czasie może bronić oskarżonego?</w:t>
      </w:r>
    </w:p>
    <w:p w:rsidR="00C328BB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 xml:space="preserve">tak, oskarżony w postępowaniu karnym jednocześnie może korzystać z pomocy 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F670DF" w:rsidRPr="00F670DF">
        <w:rPr>
          <w:rFonts w:ascii="Arial" w:eastAsia="Calibri" w:hAnsi="Arial" w:cs="Arial"/>
          <w:szCs w:val="24"/>
        </w:rPr>
        <w:t>tylko jednego obrońcy;</w:t>
      </w:r>
    </w:p>
    <w:p w:rsidR="00C328BB" w:rsidRPr="00C328BB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C328BB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 xml:space="preserve">tak, oskarżony w postępowaniu karnym jednocześnie może korzystać z 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C328BB">
        <w:rPr>
          <w:rFonts w:ascii="Arial" w:eastAsia="Calibri" w:hAnsi="Arial" w:cs="Arial"/>
          <w:b/>
          <w:szCs w:val="24"/>
        </w:rPr>
        <w:t xml:space="preserve">    </w:t>
      </w:r>
      <w:r w:rsidR="00F670DF" w:rsidRPr="00F670DF">
        <w:rPr>
          <w:rFonts w:ascii="Arial" w:eastAsia="Calibri" w:hAnsi="Arial" w:cs="Arial"/>
          <w:b/>
          <w:szCs w:val="24"/>
        </w:rPr>
        <w:t>pomocy tylko trzech obrońców;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 xml:space="preserve">nie, ilość obrońców z wyboru jaka może bronić oskarżonego w danym momencie </w:t>
      </w:r>
      <w:r>
        <w:rPr>
          <w:rFonts w:ascii="Arial" w:eastAsia="Calibri" w:hAnsi="Arial" w:cs="Arial"/>
          <w:szCs w:val="24"/>
        </w:rPr>
        <w:br/>
        <w:t xml:space="preserve">    </w:t>
      </w:r>
      <w:r w:rsidR="00F670DF" w:rsidRPr="00F670DF">
        <w:rPr>
          <w:rFonts w:ascii="Arial" w:eastAsia="Calibri" w:hAnsi="Arial" w:cs="Arial"/>
          <w:szCs w:val="24"/>
        </w:rPr>
        <w:t>nie jest w żaden sposób reglamentowania przez prawo.</w:t>
      </w:r>
    </w:p>
    <w:p w:rsidR="00F670DF" w:rsidRPr="00F670DF" w:rsidRDefault="00F670DF" w:rsidP="00F670DF">
      <w:pPr>
        <w:spacing w:after="160" w:line="259" w:lineRule="auto"/>
        <w:ind w:left="1080"/>
        <w:contextualSpacing/>
        <w:jc w:val="left"/>
        <w:rPr>
          <w:rFonts w:ascii="Arial" w:eastAsia="Calibri" w:hAnsi="Arial" w:cs="Arial"/>
          <w:szCs w:val="24"/>
        </w:rPr>
      </w:pP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C328BB">
        <w:rPr>
          <w:rFonts w:ascii="Arial" w:eastAsia="Calibri" w:hAnsi="Arial" w:cs="Arial"/>
          <w:b/>
          <w:szCs w:val="24"/>
        </w:rPr>
        <w:t xml:space="preserve">35. </w:t>
      </w:r>
      <w:r w:rsidR="00F670DF" w:rsidRPr="00F670DF">
        <w:rPr>
          <w:rFonts w:ascii="Arial" w:eastAsia="Calibri" w:hAnsi="Arial" w:cs="Arial"/>
          <w:b/>
          <w:szCs w:val="24"/>
        </w:rPr>
        <w:t>Pomocnictwo do popełnienia przestępstwa jest: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  <w:u w:val="single"/>
        </w:rPr>
      </w:pPr>
      <w:r>
        <w:rPr>
          <w:rFonts w:ascii="Arial" w:eastAsia="Calibri" w:hAnsi="Arial" w:cs="Arial"/>
          <w:szCs w:val="24"/>
        </w:rPr>
        <w:t xml:space="preserve">a) </w:t>
      </w:r>
      <w:r w:rsidR="00F670DF" w:rsidRPr="00F670DF">
        <w:rPr>
          <w:rFonts w:ascii="Arial" w:eastAsia="Calibri" w:hAnsi="Arial" w:cs="Arial"/>
          <w:szCs w:val="24"/>
        </w:rPr>
        <w:t>karane jedynie wówczas gdy ustawa karna tak stanowi;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C328BB">
        <w:rPr>
          <w:rFonts w:ascii="Arial" w:eastAsia="Calibri" w:hAnsi="Arial" w:cs="Arial"/>
          <w:b/>
          <w:szCs w:val="24"/>
        </w:rPr>
        <w:t xml:space="preserve">b) </w:t>
      </w:r>
      <w:r w:rsidR="00F670DF" w:rsidRPr="00F670DF">
        <w:rPr>
          <w:rFonts w:ascii="Arial" w:eastAsia="Calibri" w:hAnsi="Arial" w:cs="Arial"/>
          <w:b/>
          <w:szCs w:val="24"/>
        </w:rPr>
        <w:t>zawsze karane;</w:t>
      </w:r>
    </w:p>
    <w:p w:rsidR="00C328BB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 xml:space="preserve">karalność pomocnictwa jest uzależniona od tego czy sprawca przed podjęciem </w:t>
      </w:r>
      <w:r>
        <w:rPr>
          <w:rFonts w:ascii="Arial" w:eastAsia="Calibri" w:hAnsi="Arial" w:cs="Arial"/>
          <w:szCs w:val="24"/>
        </w:rPr>
        <w:br/>
        <w:t xml:space="preserve">    </w:t>
      </w:r>
      <w:r w:rsidR="00F670DF" w:rsidRPr="00F670DF">
        <w:rPr>
          <w:rFonts w:ascii="Arial" w:eastAsia="Calibri" w:hAnsi="Arial" w:cs="Arial"/>
          <w:szCs w:val="24"/>
        </w:rPr>
        <w:t xml:space="preserve">działań zmierzających do ułatwienia popełnienia przestępstwa był karany za 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  <w:u w:val="single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8715BE">
        <w:rPr>
          <w:rFonts w:ascii="Arial" w:eastAsia="Calibri" w:hAnsi="Arial" w:cs="Arial"/>
          <w:szCs w:val="24"/>
        </w:rPr>
        <w:t>przestępstwo.</w:t>
      </w:r>
    </w:p>
    <w:p w:rsidR="00F670DF" w:rsidRPr="00F670DF" w:rsidRDefault="00F670DF" w:rsidP="00F670DF">
      <w:pPr>
        <w:spacing w:after="200" w:line="276" w:lineRule="auto"/>
        <w:ind w:left="1068"/>
        <w:contextualSpacing/>
        <w:rPr>
          <w:rFonts w:ascii="Arial" w:eastAsia="Calibri" w:hAnsi="Arial" w:cs="Arial"/>
          <w:b/>
          <w:szCs w:val="24"/>
          <w:u w:val="single"/>
        </w:rPr>
      </w:pP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C328BB">
        <w:rPr>
          <w:rFonts w:ascii="Arial" w:eastAsia="Calibri" w:hAnsi="Arial" w:cs="Arial"/>
          <w:b/>
          <w:szCs w:val="24"/>
        </w:rPr>
        <w:t xml:space="preserve">36. </w:t>
      </w:r>
      <w:r w:rsidR="00F670DF" w:rsidRPr="00F670DF">
        <w:rPr>
          <w:rFonts w:ascii="Arial" w:eastAsia="Calibri" w:hAnsi="Arial" w:cs="Arial"/>
          <w:b/>
          <w:szCs w:val="24"/>
        </w:rPr>
        <w:t>Usiłowanie popełnienia przestępstwa jest: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C328BB">
        <w:rPr>
          <w:rFonts w:ascii="Arial" w:eastAsia="Calibri" w:hAnsi="Arial" w:cs="Arial"/>
          <w:b/>
          <w:szCs w:val="24"/>
        </w:rPr>
        <w:t xml:space="preserve">a) </w:t>
      </w:r>
      <w:r>
        <w:rPr>
          <w:rFonts w:ascii="Arial" w:eastAsia="Calibri" w:hAnsi="Arial" w:cs="Arial"/>
          <w:b/>
          <w:szCs w:val="24"/>
        </w:rPr>
        <w:t>zawsze karane;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F670DF" w:rsidRPr="00F670DF">
        <w:rPr>
          <w:rFonts w:ascii="Arial" w:eastAsia="Calibri" w:hAnsi="Arial" w:cs="Arial"/>
          <w:szCs w:val="24"/>
        </w:rPr>
        <w:t>karane jedynie wówcz</w:t>
      </w:r>
      <w:r>
        <w:rPr>
          <w:rFonts w:ascii="Arial" w:eastAsia="Calibri" w:hAnsi="Arial" w:cs="Arial"/>
          <w:szCs w:val="24"/>
        </w:rPr>
        <w:t>as gdy ustawa karna tak stanowi;</w:t>
      </w:r>
    </w:p>
    <w:p w:rsidR="00C328BB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F670DF" w:rsidRPr="00F670DF">
        <w:rPr>
          <w:rFonts w:ascii="Arial" w:eastAsia="Calibri" w:hAnsi="Arial" w:cs="Arial"/>
          <w:szCs w:val="24"/>
        </w:rPr>
        <w:t xml:space="preserve">karalność usiłowania jest uzależniona od tego czy sprawca przed podjęciem </w:t>
      </w:r>
    </w:p>
    <w:p w:rsidR="00C328BB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F670DF" w:rsidRPr="00F670DF">
        <w:rPr>
          <w:rFonts w:ascii="Arial" w:eastAsia="Calibri" w:hAnsi="Arial" w:cs="Arial"/>
          <w:szCs w:val="24"/>
        </w:rPr>
        <w:t xml:space="preserve">działań zmierzających do popełnienia przestępstwa był wcześniej karany za </w:t>
      </w:r>
    </w:p>
    <w:p w:rsidR="00F670DF" w:rsidRPr="00F670DF" w:rsidRDefault="00C328BB" w:rsidP="00C328BB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B152A1">
        <w:rPr>
          <w:rFonts w:ascii="Arial" w:eastAsia="Calibri" w:hAnsi="Arial" w:cs="Arial"/>
          <w:szCs w:val="24"/>
        </w:rPr>
        <w:t>przestępstwo.</w:t>
      </w:r>
    </w:p>
    <w:p w:rsidR="00F670DF" w:rsidRPr="00F670DF" w:rsidRDefault="00F670DF" w:rsidP="00F670DF">
      <w:pPr>
        <w:spacing w:line="276" w:lineRule="auto"/>
        <w:jc w:val="left"/>
        <w:rPr>
          <w:rFonts w:ascii="Arial" w:hAnsi="Arial" w:cs="Arial"/>
          <w:b/>
          <w:szCs w:val="24"/>
        </w:rPr>
      </w:pPr>
    </w:p>
    <w:sectPr w:rsidR="00F670DF" w:rsidRPr="00F670DF" w:rsidSect="00D8529E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B4" w:rsidRDefault="008D34B4" w:rsidP="00911F3E">
      <w:pPr>
        <w:spacing w:line="240" w:lineRule="auto"/>
      </w:pPr>
      <w:r>
        <w:separator/>
      </w:r>
    </w:p>
  </w:endnote>
  <w:endnote w:type="continuationSeparator" w:id="0">
    <w:p w:rsidR="008D34B4" w:rsidRDefault="008D34B4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91760" w:rsidRDefault="0099176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972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972B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B4" w:rsidRDefault="008D34B4" w:rsidP="00911F3E">
      <w:pPr>
        <w:spacing w:line="240" w:lineRule="auto"/>
      </w:pPr>
      <w:r>
        <w:separator/>
      </w:r>
    </w:p>
  </w:footnote>
  <w:footnote w:type="continuationSeparator" w:id="0">
    <w:p w:rsidR="008D34B4" w:rsidRDefault="008D34B4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FC9"/>
    <w:multiLevelType w:val="hybridMultilevel"/>
    <w:tmpl w:val="685E371A"/>
    <w:lvl w:ilvl="0" w:tplc="3BC67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D2EF5"/>
    <w:multiLevelType w:val="hybridMultilevel"/>
    <w:tmpl w:val="09D6CAA0"/>
    <w:lvl w:ilvl="0" w:tplc="6236458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A2D5C"/>
    <w:multiLevelType w:val="hybridMultilevel"/>
    <w:tmpl w:val="46EE6DF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DA7FB0"/>
    <w:multiLevelType w:val="hybridMultilevel"/>
    <w:tmpl w:val="DC2C2EDC"/>
    <w:lvl w:ilvl="0" w:tplc="0F76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12CE2"/>
    <w:multiLevelType w:val="hybridMultilevel"/>
    <w:tmpl w:val="09AC6334"/>
    <w:lvl w:ilvl="0" w:tplc="5C549A4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E4912"/>
    <w:multiLevelType w:val="hybridMultilevel"/>
    <w:tmpl w:val="EEE0A30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CC15FD"/>
    <w:multiLevelType w:val="hybridMultilevel"/>
    <w:tmpl w:val="28A0DE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074CCE"/>
    <w:multiLevelType w:val="hybridMultilevel"/>
    <w:tmpl w:val="2C0C0CFA"/>
    <w:lvl w:ilvl="0" w:tplc="F3C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D640FE"/>
    <w:multiLevelType w:val="hybridMultilevel"/>
    <w:tmpl w:val="120A66C6"/>
    <w:lvl w:ilvl="0" w:tplc="1D4E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5510B5"/>
    <w:multiLevelType w:val="hybridMultilevel"/>
    <w:tmpl w:val="B6623BCA"/>
    <w:lvl w:ilvl="0" w:tplc="28DA9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1C14AE"/>
    <w:multiLevelType w:val="hybridMultilevel"/>
    <w:tmpl w:val="2C287B12"/>
    <w:lvl w:ilvl="0" w:tplc="87F2EEA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64555B"/>
    <w:multiLevelType w:val="hybridMultilevel"/>
    <w:tmpl w:val="F74CB376"/>
    <w:lvl w:ilvl="0" w:tplc="588EDB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A67366"/>
    <w:multiLevelType w:val="hybridMultilevel"/>
    <w:tmpl w:val="04023ACA"/>
    <w:lvl w:ilvl="0" w:tplc="9B94E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4B7100"/>
    <w:multiLevelType w:val="hybridMultilevel"/>
    <w:tmpl w:val="F7F65D72"/>
    <w:lvl w:ilvl="0" w:tplc="9A068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B013E0"/>
    <w:multiLevelType w:val="hybridMultilevel"/>
    <w:tmpl w:val="8C36795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23F726A"/>
    <w:multiLevelType w:val="hybridMultilevel"/>
    <w:tmpl w:val="11683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25C95"/>
    <w:multiLevelType w:val="hybridMultilevel"/>
    <w:tmpl w:val="1F740A7E"/>
    <w:lvl w:ilvl="0" w:tplc="318E7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7C6DE1"/>
    <w:multiLevelType w:val="hybridMultilevel"/>
    <w:tmpl w:val="345070EE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CE742F"/>
    <w:multiLevelType w:val="hybridMultilevel"/>
    <w:tmpl w:val="A93834A6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A45611"/>
    <w:multiLevelType w:val="hybridMultilevel"/>
    <w:tmpl w:val="16BC9A6A"/>
    <w:lvl w:ilvl="0" w:tplc="3CFC07E2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DB16BE"/>
    <w:multiLevelType w:val="hybridMultilevel"/>
    <w:tmpl w:val="B7E2F72A"/>
    <w:lvl w:ilvl="0" w:tplc="9820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BB5A00"/>
    <w:multiLevelType w:val="hybridMultilevel"/>
    <w:tmpl w:val="6B4A7080"/>
    <w:lvl w:ilvl="0" w:tplc="5D866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1A17A2"/>
    <w:multiLevelType w:val="hybridMultilevel"/>
    <w:tmpl w:val="E84EB1E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816CB1"/>
    <w:multiLevelType w:val="hybridMultilevel"/>
    <w:tmpl w:val="E7C64C7C"/>
    <w:lvl w:ilvl="0" w:tplc="06625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F97096"/>
    <w:multiLevelType w:val="hybridMultilevel"/>
    <w:tmpl w:val="5B682ED6"/>
    <w:lvl w:ilvl="0" w:tplc="8BF4A6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E25FC4"/>
    <w:multiLevelType w:val="hybridMultilevel"/>
    <w:tmpl w:val="B9520CA0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47385A"/>
    <w:multiLevelType w:val="hybridMultilevel"/>
    <w:tmpl w:val="C3C84A34"/>
    <w:lvl w:ilvl="0" w:tplc="004CA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8D37B7"/>
    <w:multiLevelType w:val="hybridMultilevel"/>
    <w:tmpl w:val="C5B09EF6"/>
    <w:lvl w:ilvl="0" w:tplc="2B468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32251D"/>
    <w:multiLevelType w:val="hybridMultilevel"/>
    <w:tmpl w:val="3E2EF79C"/>
    <w:lvl w:ilvl="0" w:tplc="C2FCF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1E7FBB"/>
    <w:multiLevelType w:val="hybridMultilevel"/>
    <w:tmpl w:val="ABD0DCBA"/>
    <w:lvl w:ilvl="0" w:tplc="E5184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BF45F1"/>
    <w:multiLevelType w:val="hybridMultilevel"/>
    <w:tmpl w:val="DEFCFA88"/>
    <w:lvl w:ilvl="0" w:tplc="96C45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3"/>
  </w:num>
  <w:num w:numId="3">
    <w:abstractNumId w:val="23"/>
  </w:num>
  <w:num w:numId="4">
    <w:abstractNumId w:val="25"/>
  </w:num>
  <w:num w:numId="5">
    <w:abstractNumId w:val="9"/>
  </w:num>
  <w:num w:numId="6">
    <w:abstractNumId w:val="3"/>
  </w:num>
  <w:num w:numId="7">
    <w:abstractNumId w:val="33"/>
  </w:num>
  <w:num w:numId="8">
    <w:abstractNumId w:val="30"/>
  </w:num>
  <w:num w:numId="9">
    <w:abstractNumId w:val="2"/>
  </w:num>
  <w:num w:numId="10">
    <w:abstractNumId w:val="4"/>
  </w:num>
  <w:num w:numId="11">
    <w:abstractNumId w:val="21"/>
  </w:num>
  <w:num w:numId="12">
    <w:abstractNumId w:val="29"/>
  </w:num>
  <w:num w:numId="13">
    <w:abstractNumId w:val="16"/>
  </w:num>
  <w:num w:numId="14">
    <w:abstractNumId w:val="31"/>
  </w:num>
  <w:num w:numId="15">
    <w:abstractNumId w:val="24"/>
  </w:num>
  <w:num w:numId="16">
    <w:abstractNumId w:val="6"/>
  </w:num>
  <w:num w:numId="17">
    <w:abstractNumId w:val="0"/>
  </w:num>
  <w:num w:numId="18">
    <w:abstractNumId w:val="7"/>
  </w:num>
  <w:num w:numId="19">
    <w:abstractNumId w:val="8"/>
  </w:num>
  <w:num w:numId="20">
    <w:abstractNumId w:val="28"/>
  </w:num>
  <w:num w:numId="21">
    <w:abstractNumId w:val="12"/>
  </w:num>
  <w:num w:numId="22">
    <w:abstractNumId w:val="5"/>
  </w:num>
  <w:num w:numId="23">
    <w:abstractNumId w:val="11"/>
  </w:num>
  <w:num w:numId="24">
    <w:abstractNumId w:val="18"/>
  </w:num>
  <w:num w:numId="25">
    <w:abstractNumId w:val="32"/>
  </w:num>
  <w:num w:numId="26">
    <w:abstractNumId w:val="22"/>
  </w:num>
  <w:num w:numId="27">
    <w:abstractNumId w:val="15"/>
  </w:num>
  <w:num w:numId="28">
    <w:abstractNumId w:val="10"/>
  </w:num>
  <w:num w:numId="29">
    <w:abstractNumId w:val="19"/>
  </w:num>
  <w:num w:numId="30">
    <w:abstractNumId w:val="20"/>
  </w:num>
  <w:num w:numId="31">
    <w:abstractNumId w:val="27"/>
  </w:num>
  <w:num w:numId="32">
    <w:abstractNumId w:val="26"/>
  </w:num>
  <w:num w:numId="33">
    <w:abstractNumId w:val="1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C12"/>
    <w:rsid w:val="0002792A"/>
    <w:rsid w:val="00041129"/>
    <w:rsid w:val="000A66F0"/>
    <w:rsid w:val="000A7AF0"/>
    <w:rsid w:val="000A7BDD"/>
    <w:rsid w:val="000E2B26"/>
    <w:rsid w:val="000F5815"/>
    <w:rsid w:val="00103D31"/>
    <w:rsid w:val="00105A11"/>
    <w:rsid w:val="00123DB0"/>
    <w:rsid w:val="00144545"/>
    <w:rsid w:val="001479CA"/>
    <w:rsid w:val="0015403D"/>
    <w:rsid w:val="00156897"/>
    <w:rsid w:val="00161C8A"/>
    <w:rsid w:val="001A28AF"/>
    <w:rsid w:val="001B6285"/>
    <w:rsid w:val="001E6F2A"/>
    <w:rsid w:val="00242738"/>
    <w:rsid w:val="00247239"/>
    <w:rsid w:val="00276A68"/>
    <w:rsid w:val="002B4354"/>
    <w:rsid w:val="002B715B"/>
    <w:rsid w:val="002C67FA"/>
    <w:rsid w:val="002E5D8B"/>
    <w:rsid w:val="00327160"/>
    <w:rsid w:val="00337FC7"/>
    <w:rsid w:val="00343F1F"/>
    <w:rsid w:val="003442BA"/>
    <w:rsid w:val="0035512D"/>
    <w:rsid w:val="00377DEF"/>
    <w:rsid w:val="00387FF9"/>
    <w:rsid w:val="003C6D3A"/>
    <w:rsid w:val="003D2BF8"/>
    <w:rsid w:val="003E7690"/>
    <w:rsid w:val="004249F7"/>
    <w:rsid w:val="004342B4"/>
    <w:rsid w:val="00446487"/>
    <w:rsid w:val="00452599"/>
    <w:rsid w:val="00465623"/>
    <w:rsid w:val="00497F7B"/>
    <w:rsid w:val="004A1BFB"/>
    <w:rsid w:val="004B7B81"/>
    <w:rsid w:val="004C7F4C"/>
    <w:rsid w:val="004D3FF1"/>
    <w:rsid w:val="004D6452"/>
    <w:rsid w:val="004E5DF6"/>
    <w:rsid w:val="004F7E01"/>
    <w:rsid w:val="0050055A"/>
    <w:rsid w:val="005033F7"/>
    <w:rsid w:val="00524D7D"/>
    <w:rsid w:val="00531767"/>
    <w:rsid w:val="005470E0"/>
    <w:rsid w:val="00560391"/>
    <w:rsid w:val="005608FF"/>
    <w:rsid w:val="0059446A"/>
    <w:rsid w:val="005A6D75"/>
    <w:rsid w:val="005B1856"/>
    <w:rsid w:val="005B4023"/>
    <w:rsid w:val="005C2F24"/>
    <w:rsid w:val="005C62C3"/>
    <w:rsid w:val="00602358"/>
    <w:rsid w:val="00612FA9"/>
    <w:rsid w:val="00613E8D"/>
    <w:rsid w:val="006349DF"/>
    <w:rsid w:val="006862FF"/>
    <w:rsid w:val="006A35D9"/>
    <w:rsid w:val="006B117D"/>
    <w:rsid w:val="006C1AE8"/>
    <w:rsid w:val="006D7012"/>
    <w:rsid w:val="0070532A"/>
    <w:rsid w:val="00706661"/>
    <w:rsid w:val="00714545"/>
    <w:rsid w:val="007272EC"/>
    <w:rsid w:val="00733FC7"/>
    <w:rsid w:val="007414B5"/>
    <w:rsid w:val="00755CD6"/>
    <w:rsid w:val="00757A7D"/>
    <w:rsid w:val="00787A96"/>
    <w:rsid w:val="007927D6"/>
    <w:rsid w:val="00796484"/>
    <w:rsid w:val="007A2D0C"/>
    <w:rsid w:val="007B22C6"/>
    <w:rsid w:val="007E354B"/>
    <w:rsid w:val="007F08CF"/>
    <w:rsid w:val="007F22F1"/>
    <w:rsid w:val="00802BE6"/>
    <w:rsid w:val="00816F74"/>
    <w:rsid w:val="00856E9E"/>
    <w:rsid w:val="00870BBB"/>
    <w:rsid w:val="008715BE"/>
    <w:rsid w:val="0087171D"/>
    <w:rsid w:val="00891937"/>
    <w:rsid w:val="00897E46"/>
    <w:rsid w:val="008A1F9E"/>
    <w:rsid w:val="008A6285"/>
    <w:rsid w:val="008D2025"/>
    <w:rsid w:val="008D34B4"/>
    <w:rsid w:val="008D7CF4"/>
    <w:rsid w:val="008F1273"/>
    <w:rsid w:val="008F4C0F"/>
    <w:rsid w:val="008F5DE7"/>
    <w:rsid w:val="00911F3E"/>
    <w:rsid w:val="00920EFB"/>
    <w:rsid w:val="00945415"/>
    <w:rsid w:val="00950AC5"/>
    <w:rsid w:val="009666D9"/>
    <w:rsid w:val="0097314E"/>
    <w:rsid w:val="00984F29"/>
    <w:rsid w:val="00991760"/>
    <w:rsid w:val="00995CE7"/>
    <w:rsid w:val="009A6AD0"/>
    <w:rsid w:val="009B1FDF"/>
    <w:rsid w:val="009D1E7D"/>
    <w:rsid w:val="009D42F1"/>
    <w:rsid w:val="009F26BA"/>
    <w:rsid w:val="00A00BA9"/>
    <w:rsid w:val="00A01A04"/>
    <w:rsid w:val="00A04447"/>
    <w:rsid w:val="00A36813"/>
    <w:rsid w:val="00A50686"/>
    <w:rsid w:val="00A54599"/>
    <w:rsid w:val="00A64007"/>
    <w:rsid w:val="00A74609"/>
    <w:rsid w:val="00A81B7B"/>
    <w:rsid w:val="00A83081"/>
    <w:rsid w:val="00A84F2C"/>
    <w:rsid w:val="00A972BA"/>
    <w:rsid w:val="00AD06C6"/>
    <w:rsid w:val="00AF0241"/>
    <w:rsid w:val="00AF7635"/>
    <w:rsid w:val="00B06688"/>
    <w:rsid w:val="00B11974"/>
    <w:rsid w:val="00B152A1"/>
    <w:rsid w:val="00B212C7"/>
    <w:rsid w:val="00B26B9A"/>
    <w:rsid w:val="00B401A4"/>
    <w:rsid w:val="00B65FA1"/>
    <w:rsid w:val="00B74F16"/>
    <w:rsid w:val="00B8090F"/>
    <w:rsid w:val="00B836A7"/>
    <w:rsid w:val="00B85EA2"/>
    <w:rsid w:val="00B91E05"/>
    <w:rsid w:val="00BC71C6"/>
    <w:rsid w:val="00BE14BF"/>
    <w:rsid w:val="00BE21A7"/>
    <w:rsid w:val="00C057BC"/>
    <w:rsid w:val="00C328BB"/>
    <w:rsid w:val="00C329DC"/>
    <w:rsid w:val="00C82E0A"/>
    <w:rsid w:val="00C96CFE"/>
    <w:rsid w:val="00C972C7"/>
    <w:rsid w:val="00C9764E"/>
    <w:rsid w:val="00CA4E92"/>
    <w:rsid w:val="00CD11F2"/>
    <w:rsid w:val="00CE5789"/>
    <w:rsid w:val="00D036CB"/>
    <w:rsid w:val="00D05FAA"/>
    <w:rsid w:val="00D064A9"/>
    <w:rsid w:val="00D10E93"/>
    <w:rsid w:val="00D15A32"/>
    <w:rsid w:val="00D246B8"/>
    <w:rsid w:val="00D26D31"/>
    <w:rsid w:val="00D65253"/>
    <w:rsid w:val="00D8529E"/>
    <w:rsid w:val="00D9374F"/>
    <w:rsid w:val="00D93E4C"/>
    <w:rsid w:val="00DB29C8"/>
    <w:rsid w:val="00DB4E4D"/>
    <w:rsid w:val="00DC23BD"/>
    <w:rsid w:val="00E30C0F"/>
    <w:rsid w:val="00E4380B"/>
    <w:rsid w:val="00E80F64"/>
    <w:rsid w:val="00EA05A6"/>
    <w:rsid w:val="00EC5057"/>
    <w:rsid w:val="00F029B7"/>
    <w:rsid w:val="00F133C1"/>
    <w:rsid w:val="00F23FC0"/>
    <w:rsid w:val="00F43BD1"/>
    <w:rsid w:val="00F57BB6"/>
    <w:rsid w:val="00F670DF"/>
    <w:rsid w:val="00F86221"/>
    <w:rsid w:val="00F86680"/>
    <w:rsid w:val="00FA6BA5"/>
    <w:rsid w:val="00FB1BA7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19758EB3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179AB-7A0B-48F1-A3D6-E48CFA87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1607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2</cp:revision>
  <cp:lastPrinted>2025-06-24T12:41:00Z</cp:lastPrinted>
  <dcterms:created xsi:type="dcterms:W3CDTF">2026-07-28T12:00:00Z</dcterms:created>
  <dcterms:modified xsi:type="dcterms:W3CDTF">2026-07-28T12:00:00Z</dcterms:modified>
</cp:coreProperties>
</file>