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E5E3A" w14:textId="77777777" w:rsidR="005E2E4A" w:rsidRDefault="005E2E4A" w:rsidP="00543B19">
      <w:pPr>
        <w:spacing w:after="160"/>
        <w:jc w:val="center"/>
        <w:rPr>
          <w:rFonts w:ascii="Cambria" w:eastAsia="Calibri" w:hAnsi="Cambria"/>
          <w:b/>
          <w:sz w:val="24"/>
          <w:szCs w:val="22"/>
          <w:lang w:eastAsia="en-US"/>
        </w:rPr>
      </w:pPr>
    </w:p>
    <w:p w14:paraId="1B104D77" w14:textId="77777777" w:rsidR="005E2E4A" w:rsidRDefault="005E2E4A" w:rsidP="005E2E4A">
      <w:pPr>
        <w:rPr>
          <w:rFonts w:ascii="Cambria" w:hAnsi="Cambria" w:cstheme="minorHAnsi"/>
          <w:b/>
          <w:szCs w:val="24"/>
        </w:rPr>
      </w:pPr>
      <w:r>
        <w:rPr>
          <w:rFonts w:ascii="Cambria" w:hAnsi="Cambria" w:cstheme="minorHAnsi"/>
          <w:b/>
          <w:szCs w:val="24"/>
        </w:rPr>
        <w:t>Imię i nazwisko…………………………………..</w:t>
      </w:r>
    </w:p>
    <w:p w14:paraId="5B789FD3" w14:textId="5BFFB887" w:rsidR="005E2E4A" w:rsidRDefault="005E2E4A" w:rsidP="005E2E4A">
      <w:pPr>
        <w:pStyle w:val="Akapitzlist"/>
        <w:ind w:left="567"/>
        <w:rPr>
          <w:rFonts w:ascii="Cambria" w:hAnsi="Cambria" w:cstheme="minorHAnsi"/>
          <w:b/>
          <w:szCs w:val="24"/>
        </w:rPr>
      </w:pPr>
      <w:r>
        <w:rPr>
          <w:rFonts w:ascii="Cambria" w:hAnsi="Cambria" w:cstheme="minorHAnsi"/>
          <w:b/>
          <w:szCs w:val="24"/>
        </w:rPr>
        <w:t xml:space="preserve">                                                                                                             </w:t>
      </w:r>
      <w:r>
        <w:rPr>
          <w:rFonts w:ascii="Cambria" w:hAnsi="Cambria" w:cstheme="minorHAnsi"/>
          <w:b/>
          <w:szCs w:val="24"/>
        </w:rPr>
        <w:t xml:space="preserve">KONKURS KSR 1101.2.2025 </w:t>
      </w:r>
    </w:p>
    <w:p w14:paraId="3364FCE3" w14:textId="13C16FDD" w:rsidR="005E2E4A" w:rsidRDefault="005E2E4A" w:rsidP="005E2E4A">
      <w:pPr>
        <w:spacing w:after="160"/>
        <w:jc w:val="center"/>
        <w:rPr>
          <w:rFonts w:ascii="Cambria" w:eastAsia="Calibri" w:hAnsi="Cambria"/>
          <w:b/>
          <w:sz w:val="24"/>
          <w:szCs w:val="22"/>
          <w:lang w:eastAsia="en-US"/>
        </w:rPr>
      </w:pPr>
      <w:r>
        <w:rPr>
          <w:rFonts w:ascii="Cambria" w:eastAsia="Calibri" w:hAnsi="Cambria"/>
          <w:b/>
          <w:sz w:val="24"/>
          <w:szCs w:val="22"/>
          <w:lang w:eastAsia="en-US"/>
        </w:rPr>
        <w:t xml:space="preserve">  </w:t>
      </w:r>
    </w:p>
    <w:p w14:paraId="5E9C9643" w14:textId="418E8642" w:rsidR="00543B19" w:rsidRDefault="00543B19" w:rsidP="00543B19">
      <w:pPr>
        <w:spacing w:after="160"/>
        <w:jc w:val="center"/>
        <w:rPr>
          <w:rFonts w:ascii="Cambria" w:eastAsia="Calibri" w:hAnsi="Cambria"/>
          <w:b/>
          <w:sz w:val="24"/>
          <w:szCs w:val="22"/>
          <w:lang w:eastAsia="en-US"/>
        </w:rPr>
      </w:pPr>
      <w:r>
        <w:rPr>
          <w:rFonts w:ascii="Cambria" w:eastAsia="Calibri" w:hAnsi="Cambria"/>
          <w:b/>
          <w:sz w:val="24"/>
          <w:szCs w:val="22"/>
          <w:lang w:eastAsia="en-US"/>
        </w:rPr>
        <w:t>K</w:t>
      </w:r>
      <w:r w:rsidR="003C1324">
        <w:rPr>
          <w:rFonts w:ascii="Cambria" w:eastAsia="Calibri" w:hAnsi="Cambria"/>
          <w:b/>
          <w:sz w:val="24"/>
          <w:szCs w:val="22"/>
          <w:lang w:eastAsia="en-US"/>
        </w:rPr>
        <w:t>azus z pra</w:t>
      </w:r>
      <w:r w:rsidR="005E2E4A">
        <w:rPr>
          <w:rFonts w:ascii="Cambria" w:eastAsia="Calibri" w:hAnsi="Cambria"/>
          <w:b/>
          <w:sz w:val="24"/>
          <w:szCs w:val="22"/>
          <w:lang w:eastAsia="en-US"/>
        </w:rPr>
        <w:t>w</w:t>
      </w:r>
      <w:r w:rsidR="003C1324">
        <w:rPr>
          <w:rFonts w:ascii="Cambria" w:eastAsia="Calibri" w:hAnsi="Cambria"/>
          <w:b/>
          <w:sz w:val="24"/>
          <w:szCs w:val="22"/>
          <w:lang w:eastAsia="en-US"/>
        </w:rPr>
        <w:t xml:space="preserve">a cywilnego </w:t>
      </w:r>
    </w:p>
    <w:p w14:paraId="383D68C6" w14:textId="66BD4CC8" w:rsidR="00543B19" w:rsidRDefault="00543B19" w:rsidP="001541B8">
      <w:pPr>
        <w:ind w:firstLine="709"/>
        <w:jc w:val="both"/>
        <w:rPr>
          <w:rFonts w:ascii="Cambria" w:eastAsia="Calibri" w:hAnsi="Cambria"/>
          <w:sz w:val="24"/>
          <w:szCs w:val="22"/>
          <w:lang w:eastAsia="en-US"/>
        </w:rPr>
      </w:pPr>
      <w:r>
        <w:rPr>
          <w:rFonts w:ascii="Cambria" w:eastAsia="Calibri" w:hAnsi="Cambria"/>
          <w:sz w:val="24"/>
          <w:szCs w:val="22"/>
          <w:lang w:eastAsia="en-US"/>
        </w:rPr>
        <w:t>W dniu 16 marca 2020 roku Bank XYZ S</w:t>
      </w:r>
      <w:r w:rsidR="001541B8">
        <w:rPr>
          <w:rFonts w:ascii="Cambria" w:eastAsia="Calibri" w:hAnsi="Cambria"/>
          <w:sz w:val="24"/>
          <w:szCs w:val="22"/>
          <w:lang w:eastAsia="en-US"/>
        </w:rPr>
        <w:t xml:space="preserve">A </w:t>
      </w:r>
      <w:r>
        <w:rPr>
          <w:rFonts w:ascii="Cambria" w:eastAsia="Calibri" w:hAnsi="Cambria"/>
          <w:sz w:val="24"/>
          <w:szCs w:val="22"/>
          <w:lang w:eastAsia="en-US"/>
        </w:rPr>
        <w:t xml:space="preserve">, w ramach prowadzonej działalności gospodarczej, zawarł umowę pożyczki z Janem Kowalskim (pożyczkobiorca). Dla Jana Kowalskiego umowa ta nie była bezpośrednio związana z jego działalnością gospodarczą lub zawodową. </w:t>
      </w:r>
    </w:p>
    <w:p w14:paraId="26E94501" w14:textId="283FEEB7" w:rsidR="00543B19" w:rsidRDefault="00543B19" w:rsidP="001541B8">
      <w:pPr>
        <w:ind w:firstLine="709"/>
        <w:jc w:val="both"/>
        <w:rPr>
          <w:rFonts w:ascii="Cambria" w:eastAsia="Calibri" w:hAnsi="Cambria"/>
          <w:sz w:val="24"/>
          <w:szCs w:val="22"/>
          <w:lang w:eastAsia="en-US"/>
        </w:rPr>
      </w:pPr>
      <w:r>
        <w:rPr>
          <w:rFonts w:ascii="Cambria" w:eastAsia="Calibri" w:hAnsi="Cambria"/>
          <w:sz w:val="24"/>
          <w:szCs w:val="22"/>
          <w:lang w:eastAsia="en-US"/>
        </w:rPr>
        <w:t xml:space="preserve">Na podstawie zawartej umowy Bank udzielił Janowi Kowalskiemu pożyczki pieniężnej w wysokości 5.000,00 zł. W związku z zawarciem umowy Jan Kowalski zobowiązał się ponieść koszty w postaci: prowizji Banku – 1.000,00 zł oraz odsetek </w:t>
      </w:r>
      <w:r w:rsidR="001541B8">
        <w:rPr>
          <w:rFonts w:ascii="Cambria" w:eastAsia="Calibri" w:hAnsi="Cambria"/>
          <w:sz w:val="24"/>
          <w:szCs w:val="22"/>
          <w:lang w:eastAsia="en-US"/>
        </w:rPr>
        <w:t xml:space="preserve">             </w:t>
      </w:r>
      <w:r>
        <w:rPr>
          <w:rFonts w:ascii="Cambria" w:eastAsia="Calibri" w:hAnsi="Cambria"/>
          <w:sz w:val="24"/>
          <w:szCs w:val="22"/>
          <w:lang w:eastAsia="en-US"/>
        </w:rPr>
        <w:t xml:space="preserve">od udzielonej pożyczki – 1.200,00 zł. Łączne zobowiązanie do spłaty wynosiło 7.200,00 zł. Spłatę zobowiązania rozłożono na 36 równych rat kapitałowo-odsetkowych </w:t>
      </w:r>
      <w:r w:rsidR="001541B8">
        <w:rPr>
          <w:rFonts w:ascii="Cambria" w:eastAsia="Calibri" w:hAnsi="Cambria"/>
          <w:sz w:val="24"/>
          <w:szCs w:val="22"/>
          <w:lang w:eastAsia="en-US"/>
        </w:rPr>
        <w:t xml:space="preserve">                        </w:t>
      </w:r>
      <w:r>
        <w:rPr>
          <w:rFonts w:ascii="Cambria" w:eastAsia="Calibri" w:hAnsi="Cambria"/>
          <w:sz w:val="24"/>
          <w:szCs w:val="22"/>
          <w:lang w:eastAsia="en-US"/>
        </w:rPr>
        <w:t xml:space="preserve">w kwotach po 200,00 zł miesięcznie, płatnych w terminie do 25. dnia każdego kolejnego miesiąca. </w:t>
      </w:r>
    </w:p>
    <w:p w14:paraId="5E08FF5E" w14:textId="77777777" w:rsidR="00543B19" w:rsidRDefault="00543B19" w:rsidP="001541B8">
      <w:pPr>
        <w:ind w:firstLine="709"/>
        <w:jc w:val="both"/>
        <w:rPr>
          <w:rFonts w:ascii="Cambria" w:eastAsia="Calibri" w:hAnsi="Cambria"/>
          <w:sz w:val="24"/>
          <w:szCs w:val="22"/>
          <w:lang w:eastAsia="en-US"/>
        </w:rPr>
      </w:pPr>
      <w:r>
        <w:rPr>
          <w:rFonts w:ascii="Cambria" w:eastAsia="Calibri" w:hAnsi="Cambria"/>
          <w:sz w:val="24"/>
          <w:szCs w:val="22"/>
          <w:lang w:eastAsia="en-US"/>
        </w:rPr>
        <w:t xml:space="preserve">W umowie postanowiono, że jeżeli pożyczkobiorca nie spłaci w terminie poszczególnych rat lub ich części, to niespłacona kwota staje się zadłużeniem przeterminowanym, od którego Bank może naliczać odsetki za opóźnienie za każdy dzień opóźnienia równe trzykrotności wysokości odsetek ustawowych za opóźnienie. </w:t>
      </w:r>
    </w:p>
    <w:p w14:paraId="1A39A858" w14:textId="77777777" w:rsidR="00543B19" w:rsidRDefault="00543B19" w:rsidP="001541B8">
      <w:pPr>
        <w:ind w:firstLine="709"/>
        <w:jc w:val="both"/>
        <w:rPr>
          <w:rFonts w:ascii="Cambria" w:eastAsia="Calibri" w:hAnsi="Cambria"/>
          <w:sz w:val="24"/>
          <w:szCs w:val="22"/>
          <w:lang w:eastAsia="en-US"/>
        </w:rPr>
      </w:pPr>
      <w:r>
        <w:rPr>
          <w:rFonts w:ascii="Cambria" w:eastAsia="Calibri" w:hAnsi="Cambria"/>
          <w:sz w:val="24"/>
          <w:szCs w:val="22"/>
          <w:lang w:eastAsia="en-US"/>
        </w:rPr>
        <w:t xml:space="preserve">W umowie wskazano też, że jeżeli pożyczkobiorca nie spłaci w terminie co najmniej jednej raty Bank ma prawo wezwać pożyczkobiorcę do spłaty zadłużenia, a w razie braku zapłaty – wypowiedzieć umowę z zachowaniem 30-dniowego terminu wypowiedzenia. Wypowiedzenie umowy jest równoznaczne z postawieniem w stan wymagalności całego pozostałego do spłaty zobowiązania. </w:t>
      </w:r>
    </w:p>
    <w:p w14:paraId="74AB127F" w14:textId="77777777" w:rsidR="001541B8" w:rsidRDefault="00543B19" w:rsidP="001541B8">
      <w:pPr>
        <w:ind w:firstLine="709"/>
        <w:jc w:val="both"/>
        <w:rPr>
          <w:rFonts w:ascii="Cambria" w:eastAsia="Calibri" w:hAnsi="Cambria"/>
          <w:sz w:val="24"/>
          <w:szCs w:val="22"/>
          <w:lang w:eastAsia="en-US"/>
        </w:rPr>
      </w:pPr>
      <w:r>
        <w:rPr>
          <w:rFonts w:ascii="Cambria" w:eastAsia="Calibri" w:hAnsi="Cambria"/>
          <w:sz w:val="24"/>
          <w:szCs w:val="22"/>
          <w:lang w:eastAsia="en-US"/>
        </w:rPr>
        <w:t>Jan Kowalski nie zapłacił dwóch rat pożyczki, których termin wymagalności przypadał w dniach 25 stycznia 2021 roku i 25 lutego 2021 roku. W piśmie z dnia</w:t>
      </w:r>
      <w:r w:rsidR="001541B8">
        <w:rPr>
          <w:rFonts w:ascii="Cambria" w:eastAsia="Calibri" w:hAnsi="Cambria"/>
          <w:sz w:val="24"/>
          <w:szCs w:val="22"/>
          <w:lang w:eastAsia="en-US"/>
        </w:rPr>
        <w:t xml:space="preserve">                 </w:t>
      </w:r>
      <w:r>
        <w:rPr>
          <w:rFonts w:ascii="Cambria" w:eastAsia="Calibri" w:hAnsi="Cambria"/>
          <w:sz w:val="24"/>
          <w:szCs w:val="22"/>
          <w:lang w:eastAsia="en-US"/>
        </w:rPr>
        <w:t xml:space="preserve"> 01 marca 2021 roku Bank wezwał Jana Kowalskiego do zapłaty w terminie 14 dni od otrzymania wezwania zaległych rat pożyczki wraz z odsetkami za opóźnienie pod rygorem wypowiedzenia umowy</w:t>
      </w:r>
      <w:r w:rsidR="001541B8">
        <w:rPr>
          <w:rFonts w:ascii="Cambria" w:eastAsia="Calibri" w:hAnsi="Cambria"/>
          <w:sz w:val="24"/>
          <w:szCs w:val="22"/>
          <w:lang w:eastAsia="en-US"/>
        </w:rPr>
        <w:t xml:space="preserve"> oraz</w:t>
      </w:r>
      <w:r>
        <w:rPr>
          <w:rFonts w:ascii="Cambria" w:eastAsia="Calibri" w:hAnsi="Cambria"/>
          <w:sz w:val="24"/>
          <w:szCs w:val="22"/>
          <w:lang w:eastAsia="en-US"/>
        </w:rPr>
        <w:t xml:space="preserve"> pouczył pożyczkobiorcę o możliwości złożenia wniosku o restrukturyzację zadłużenia. Jan Kowalski nie dokonał zapłaty. </w:t>
      </w:r>
    </w:p>
    <w:p w14:paraId="3275B01D" w14:textId="77777777" w:rsidR="001541B8" w:rsidRDefault="00543B19" w:rsidP="001541B8">
      <w:pPr>
        <w:ind w:firstLine="709"/>
        <w:jc w:val="both"/>
        <w:rPr>
          <w:rFonts w:ascii="Cambria" w:eastAsia="Calibri" w:hAnsi="Cambria"/>
          <w:sz w:val="24"/>
          <w:szCs w:val="22"/>
          <w:lang w:eastAsia="en-US"/>
        </w:rPr>
      </w:pPr>
      <w:r>
        <w:rPr>
          <w:rFonts w:ascii="Cambria" w:eastAsia="Calibri" w:hAnsi="Cambria"/>
          <w:sz w:val="24"/>
          <w:szCs w:val="22"/>
          <w:lang w:eastAsia="en-US"/>
        </w:rPr>
        <w:t>W piśmie z dnia 15 kwietnia 2021 roku Bank wypowiedział umowę pożyczki</w:t>
      </w:r>
      <w:r w:rsidR="001541B8">
        <w:rPr>
          <w:rFonts w:ascii="Cambria" w:eastAsia="Calibri" w:hAnsi="Cambria"/>
          <w:sz w:val="24"/>
          <w:szCs w:val="22"/>
          <w:lang w:eastAsia="en-US"/>
        </w:rPr>
        <w:t xml:space="preserve">               </w:t>
      </w:r>
      <w:r>
        <w:rPr>
          <w:rFonts w:ascii="Cambria" w:eastAsia="Calibri" w:hAnsi="Cambria"/>
          <w:sz w:val="24"/>
          <w:szCs w:val="22"/>
          <w:lang w:eastAsia="en-US"/>
        </w:rPr>
        <w:t xml:space="preserve"> i wezwał do spłaty zadłużenia. Termin wypowiedzenia umowy upłynął w dniu 22 maja 2021 roku.</w:t>
      </w:r>
      <w:r w:rsidR="001541B8">
        <w:rPr>
          <w:rFonts w:ascii="Cambria" w:eastAsia="Calibri" w:hAnsi="Cambria"/>
          <w:sz w:val="24"/>
          <w:szCs w:val="22"/>
          <w:lang w:eastAsia="en-US"/>
        </w:rPr>
        <w:t xml:space="preserve"> </w:t>
      </w:r>
      <w:r>
        <w:rPr>
          <w:rFonts w:ascii="Cambria" w:eastAsia="Calibri" w:hAnsi="Cambria"/>
          <w:sz w:val="24"/>
          <w:szCs w:val="22"/>
          <w:lang w:eastAsia="en-US"/>
        </w:rPr>
        <w:t xml:space="preserve">Jan Kowalski nie dokonał spłaty zobowiązania. </w:t>
      </w:r>
    </w:p>
    <w:p w14:paraId="187F3E08" w14:textId="7492894F" w:rsidR="001541B8" w:rsidRDefault="00543B19" w:rsidP="001541B8">
      <w:pPr>
        <w:ind w:firstLine="709"/>
        <w:jc w:val="both"/>
        <w:rPr>
          <w:rFonts w:ascii="Cambria" w:eastAsia="Calibri" w:hAnsi="Cambria"/>
          <w:sz w:val="24"/>
          <w:szCs w:val="22"/>
          <w:lang w:eastAsia="en-US"/>
        </w:rPr>
      </w:pPr>
      <w:r>
        <w:rPr>
          <w:rFonts w:ascii="Cambria" w:eastAsia="Calibri" w:hAnsi="Cambria"/>
          <w:sz w:val="24"/>
          <w:szCs w:val="22"/>
          <w:lang w:eastAsia="en-US"/>
        </w:rPr>
        <w:t xml:space="preserve">W dniu 18 listopada 2024 roku Bank, reprezentowany przez zawodowego pełnomocnika w osobie adwokata, złożył do Sądu Rejonowego w Częstochowie pozew </w:t>
      </w:r>
      <w:r w:rsidR="001541B8">
        <w:rPr>
          <w:rFonts w:ascii="Cambria" w:eastAsia="Calibri" w:hAnsi="Cambria"/>
          <w:sz w:val="24"/>
          <w:szCs w:val="22"/>
          <w:lang w:eastAsia="en-US"/>
        </w:rPr>
        <w:t xml:space="preserve">       </w:t>
      </w:r>
      <w:r>
        <w:rPr>
          <w:rFonts w:ascii="Cambria" w:eastAsia="Calibri" w:hAnsi="Cambria"/>
          <w:sz w:val="24"/>
          <w:szCs w:val="22"/>
          <w:lang w:eastAsia="en-US"/>
        </w:rPr>
        <w:t>o zapłatę. Jan Kowalski</w:t>
      </w:r>
      <w:r w:rsidR="001541B8">
        <w:rPr>
          <w:rFonts w:ascii="Cambria" w:eastAsia="Calibri" w:hAnsi="Cambria"/>
          <w:sz w:val="24"/>
          <w:szCs w:val="22"/>
          <w:lang w:eastAsia="en-US"/>
        </w:rPr>
        <w:t xml:space="preserve"> , reprezentowany przez pełnomocnika w osobie radcy prawnego, </w:t>
      </w:r>
      <w:r>
        <w:rPr>
          <w:rFonts w:ascii="Cambria" w:eastAsia="Calibri" w:hAnsi="Cambria"/>
          <w:sz w:val="24"/>
          <w:szCs w:val="22"/>
          <w:lang w:eastAsia="en-US"/>
        </w:rPr>
        <w:t xml:space="preserve"> wniósł odpowiedź na pozew, w której domagał się oddalenia powództwa w całości.</w:t>
      </w:r>
    </w:p>
    <w:p w14:paraId="026AF5FB" w14:textId="5C1A911A" w:rsidR="00543B19" w:rsidRDefault="00543B19" w:rsidP="001541B8">
      <w:pPr>
        <w:ind w:firstLine="709"/>
        <w:jc w:val="both"/>
        <w:rPr>
          <w:rFonts w:ascii="Cambria" w:eastAsia="Calibri" w:hAnsi="Cambria"/>
          <w:sz w:val="24"/>
          <w:szCs w:val="22"/>
          <w:lang w:eastAsia="en-US"/>
        </w:rPr>
      </w:pPr>
      <w:r>
        <w:rPr>
          <w:rFonts w:ascii="Cambria" w:eastAsia="Calibri" w:hAnsi="Cambria"/>
          <w:sz w:val="24"/>
          <w:szCs w:val="22"/>
          <w:lang w:eastAsia="en-US"/>
        </w:rPr>
        <w:t xml:space="preserve">Na dalszym etapie postępowania Sąd zobowiązał Jana Kowalskiego, by podał </w:t>
      </w:r>
      <w:r w:rsidR="001541B8">
        <w:rPr>
          <w:rFonts w:ascii="Cambria" w:eastAsia="Calibri" w:hAnsi="Cambria"/>
          <w:sz w:val="24"/>
          <w:szCs w:val="22"/>
          <w:lang w:eastAsia="en-US"/>
        </w:rPr>
        <w:t xml:space="preserve">            </w:t>
      </w:r>
      <w:r>
        <w:rPr>
          <w:rFonts w:ascii="Cambria" w:eastAsia="Calibri" w:hAnsi="Cambria"/>
          <w:sz w:val="24"/>
          <w:szCs w:val="22"/>
          <w:lang w:eastAsia="en-US"/>
        </w:rPr>
        <w:t xml:space="preserve">w piśmie przygotowawczym wszystkie twierdzenia i dowody istotne dla rozstrzygnięcia sprawy w terminie 2 tygodni, pod rygorem utraty prawa do ich powoływania w toku dalszego postępowania.  </w:t>
      </w:r>
      <w:r w:rsidR="001541B8">
        <w:rPr>
          <w:rFonts w:ascii="Cambria" w:eastAsia="Calibri" w:hAnsi="Cambria"/>
          <w:sz w:val="24"/>
          <w:szCs w:val="22"/>
          <w:lang w:eastAsia="en-US"/>
        </w:rPr>
        <w:t xml:space="preserve">Pismo nie zostało złożone. </w:t>
      </w:r>
    </w:p>
    <w:p w14:paraId="0F9F8A1B" w14:textId="77777777" w:rsidR="001541B8" w:rsidRDefault="00543B19" w:rsidP="001541B8">
      <w:pPr>
        <w:ind w:firstLine="708"/>
        <w:jc w:val="both"/>
        <w:rPr>
          <w:rFonts w:ascii="Cambria" w:eastAsia="Calibri" w:hAnsi="Cambria"/>
          <w:sz w:val="24"/>
          <w:szCs w:val="22"/>
          <w:lang w:eastAsia="en-US"/>
        </w:rPr>
      </w:pPr>
      <w:r>
        <w:rPr>
          <w:rFonts w:ascii="Cambria" w:eastAsia="Calibri" w:hAnsi="Cambria"/>
          <w:sz w:val="24"/>
          <w:szCs w:val="22"/>
          <w:lang w:eastAsia="en-US"/>
        </w:rPr>
        <w:t xml:space="preserve">Do dnia zamknięcia rozprawy bezpośrednio poprzedzającej wydanie wyroku pełnomocnik Banku nie złożył wniosku o zasądzenie kosztów procesu. </w:t>
      </w:r>
    </w:p>
    <w:p w14:paraId="1B177E5B" w14:textId="0BDBF054" w:rsidR="00543B19" w:rsidRDefault="00543B19" w:rsidP="001541B8">
      <w:pPr>
        <w:ind w:firstLine="708"/>
        <w:jc w:val="both"/>
        <w:rPr>
          <w:rFonts w:ascii="Cambria" w:eastAsia="Calibri" w:hAnsi="Cambria"/>
          <w:sz w:val="24"/>
          <w:szCs w:val="22"/>
          <w:lang w:eastAsia="en-US"/>
        </w:rPr>
      </w:pPr>
      <w:r>
        <w:rPr>
          <w:rFonts w:ascii="Cambria" w:eastAsia="Calibri" w:hAnsi="Cambria"/>
          <w:sz w:val="24"/>
          <w:szCs w:val="22"/>
          <w:lang w:eastAsia="en-US"/>
        </w:rPr>
        <w:t xml:space="preserve">Na ostatnim terminie rozprawy pełnomocnik Jana Kowalskiego (radca prawny) złożył wniosek dowodowy o dopuszczenie i przeprowadzenie dowodu z opinii biegłego sądowego z zakresu rachunkowości. </w:t>
      </w:r>
      <w:r>
        <w:rPr>
          <w:rFonts w:ascii="Cambria" w:eastAsia="Calibri" w:hAnsi="Cambria"/>
          <w:sz w:val="24"/>
          <w:szCs w:val="24"/>
          <w:shd w:val="clear" w:color="auto" w:fill="FFFFFF"/>
          <w:lang w:eastAsia="en-US"/>
        </w:rPr>
        <w:t>Nie wskazał, że powołanie tego dowodu w piśmie przygotowawczym nie było możliwe albo że potrzeba powołania wynikła później.</w:t>
      </w:r>
    </w:p>
    <w:p w14:paraId="6F573AF4" w14:textId="77777777" w:rsidR="00543B19" w:rsidRDefault="00543B19" w:rsidP="001541B8">
      <w:pPr>
        <w:ind w:firstLine="708"/>
        <w:jc w:val="both"/>
        <w:rPr>
          <w:rFonts w:ascii="Cambria" w:eastAsia="Calibri" w:hAnsi="Cambria"/>
          <w:sz w:val="24"/>
          <w:szCs w:val="22"/>
          <w:lang w:eastAsia="en-US"/>
        </w:rPr>
      </w:pPr>
      <w:r>
        <w:rPr>
          <w:rFonts w:ascii="Cambria" w:eastAsia="Calibri" w:hAnsi="Cambria"/>
          <w:sz w:val="24"/>
          <w:szCs w:val="22"/>
          <w:lang w:eastAsia="en-US"/>
        </w:rPr>
        <w:lastRenderedPageBreak/>
        <w:t xml:space="preserve">Sąd wydał na rozprawie postanowienie o pominięciu dowodu z opinii biegłego sądowego z zakresu rachunkowości. </w:t>
      </w:r>
    </w:p>
    <w:p w14:paraId="4C992A2C" w14:textId="77777777" w:rsidR="00B77C9B" w:rsidRDefault="00B77C9B" w:rsidP="001541B8">
      <w:pPr>
        <w:ind w:firstLine="708"/>
        <w:jc w:val="both"/>
        <w:rPr>
          <w:rFonts w:ascii="Cambria" w:eastAsia="Calibri" w:hAnsi="Cambria"/>
          <w:sz w:val="24"/>
          <w:szCs w:val="22"/>
          <w:lang w:eastAsia="en-US"/>
        </w:rPr>
      </w:pPr>
    </w:p>
    <w:p w14:paraId="617780A2" w14:textId="77777777" w:rsidR="00B77C9B" w:rsidRDefault="00B77C9B" w:rsidP="001541B8">
      <w:pPr>
        <w:ind w:firstLine="708"/>
        <w:jc w:val="both"/>
        <w:rPr>
          <w:rFonts w:ascii="Cambria" w:eastAsia="Calibri" w:hAnsi="Cambria"/>
          <w:sz w:val="24"/>
          <w:szCs w:val="22"/>
          <w:lang w:eastAsia="en-US"/>
        </w:rPr>
      </w:pPr>
    </w:p>
    <w:p w14:paraId="3EDF081F" w14:textId="77777777" w:rsidR="00B77C9B" w:rsidRDefault="00B77C9B" w:rsidP="001541B8">
      <w:pPr>
        <w:ind w:firstLine="708"/>
        <w:jc w:val="both"/>
        <w:rPr>
          <w:rFonts w:ascii="Cambria" w:eastAsia="Calibri" w:hAnsi="Cambria"/>
          <w:sz w:val="24"/>
          <w:szCs w:val="22"/>
          <w:lang w:eastAsia="en-US"/>
        </w:rPr>
      </w:pPr>
    </w:p>
    <w:p w14:paraId="3D1E049A" w14:textId="77777777" w:rsidR="00543B19" w:rsidRDefault="00543B19" w:rsidP="00543B19">
      <w:pPr>
        <w:spacing w:after="160"/>
        <w:jc w:val="both"/>
        <w:rPr>
          <w:rFonts w:ascii="Cambria" w:eastAsia="Calibri" w:hAnsi="Cambria"/>
          <w:b/>
          <w:sz w:val="24"/>
          <w:szCs w:val="22"/>
          <w:lang w:eastAsia="en-US"/>
        </w:rPr>
      </w:pPr>
      <w:r>
        <w:rPr>
          <w:rFonts w:ascii="Cambria" w:eastAsia="Calibri" w:hAnsi="Cambria"/>
          <w:b/>
          <w:sz w:val="24"/>
          <w:szCs w:val="22"/>
          <w:lang w:eastAsia="en-US"/>
        </w:rPr>
        <w:t>Pytania:</w:t>
      </w:r>
    </w:p>
    <w:p w14:paraId="2DAF8F8B" w14:textId="77777777" w:rsidR="00B77C9B" w:rsidRDefault="00B77C9B" w:rsidP="00543B19">
      <w:pPr>
        <w:spacing w:after="160"/>
        <w:jc w:val="both"/>
        <w:rPr>
          <w:rFonts w:ascii="Cambria" w:eastAsia="Calibri" w:hAnsi="Cambria"/>
          <w:b/>
          <w:sz w:val="24"/>
          <w:szCs w:val="22"/>
          <w:lang w:eastAsia="en-US"/>
        </w:rPr>
      </w:pPr>
    </w:p>
    <w:p w14:paraId="51F9DAB5" w14:textId="77777777" w:rsidR="00B77C9B" w:rsidRDefault="00B77C9B" w:rsidP="00B77C9B">
      <w:pPr>
        <w:ind w:left="770"/>
        <w:contextualSpacing/>
        <w:jc w:val="both"/>
        <w:rPr>
          <w:rFonts w:ascii="Cambria" w:eastAsia="Calibri" w:hAnsi="Cambria"/>
          <w:sz w:val="24"/>
          <w:szCs w:val="22"/>
          <w:lang w:eastAsia="en-US"/>
        </w:rPr>
      </w:pPr>
    </w:p>
    <w:p w14:paraId="5AF5937F" w14:textId="4816F4A8" w:rsidR="00543B19" w:rsidRDefault="00543B19" w:rsidP="00543B19">
      <w:pPr>
        <w:numPr>
          <w:ilvl w:val="0"/>
          <w:numId w:val="1"/>
        </w:numPr>
        <w:contextualSpacing/>
        <w:jc w:val="both"/>
        <w:rPr>
          <w:rFonts w:ascii="Cambria" w:eastAsia="Calibri" w:hAnsi="Cambria"/>
          <w:sz w:val="24"/>
          <w:szCs w:val="22"/>
          <w:lang w:eastAsia="en-US"/>
        </w:rPr>
      </w:pPr>
      <w:r>
        <w:rPr>
          <w:rFonts w:ascii="Cambria" w:eastAsia="Calibri" w:hAnsi="Cambria"/>
          <w:sz w:val="24"/>
          <w:szCs w:val="22"/>
          <w:lang w:eastAsia="en-US"/>
        </w:rPr>
        <w:t>Jaki jest termin przedawnienia roszczenia Banku</w:t>
      </w:r>
      <w:r w:rsidR="00B77C9B">
        <w:rPr>
          <w:rFonts w:ascii="Cambria" w:eastAsia="Calibri" w:hAnsi="Cambria"/>
          <w:sz w:val="24"/>
          <w:szCs w:val="22"/>
          <w:lang w:eastAsia="en-US"/>
        </w:rPr>
        <w:t xml:space="preserve"> i</w:t>
      </w:r>
      <w:r>
        <w:rPr>
          <w:rFonts w:ascii="Cambria" w:eastAsia="Calibri" w:hAnsi="Cambria"/>
          <w:sz w:val="24"/>
          <w:szCs w:val="22"/>
          <w:lang w:eastAsia="en-US"/>
        </w:rPr>
        <w:t xml:space="preserve"> </w:t>
      </w:r>
      <w:r w:rsidR="00B77C9B">
        <w:rPr>
          <w:rFonts w:ascii="Cambria" w:eastAsia="Calibri" w:hAnsi="Cambria"/>
          <w:sz w:val="24"/>
          <w:szCs w:val="22"/>
          <w:lang w:eastAsia="en-US"/>
        </w:rPr>
        <w:t>c</w:t>
      </w:r>
      <w:r>
        <w:rPr>
          <w:rFonts w:ascii="Cambria" w:eastAsia="Calibri" w:hAnsi="Cambria"/>
          <w:sz w:val="24"/>
          <w:szCs w:val="22"/>
          <w:lang w:eastAsia="en-US"/>
        </w:rPr>
        <w:t xml:space="preserve">zy w dacie złożenia pozwu roszczenie to było przedawnione? </w:t>
      </w:r>
    </w:p>
    <w:p w14:paraId="1A2849BA" w14:textId="77777777" w:rsidR="00543B19" w:rsidRDefault="00543B19" w:rsidP="00543B19">
      <w:pPr>
        <w:ind w:left="770"/>
        <w:contextualSpacing/>
        <w:jc w:val="both"/>
        <w:rPr>
          <w:rFonts w:ascii="Cambria" w:eastAsia="Calibri" w:hAnsi="Cambria"/>
          <w:sz w:val="24"/>
          <w:szCs w:val="22"/>
          <w:lang w:eastAsia="en-US"/>
        </w:rPr>
      </w:pPr>
    </w:p>
    <w:p w14:paraId="16A12F34" w14:textId="79E5D07B" w:rsidR="00543B19" w:rsidRDefault="00543B19" w:rsidP="00543B19">
      <w:pPr>
        <w:numPr>
          <w:ilvl w:val="0"/>
          <w:numId w:val="1"/>
        </w:numPr>
        <w:contextualSpacing/>
        <w:jc w:val="both"/>
        <w:rPr>
          <w:rFonts w:ascii="Cambria" w:eastAsia="Calibri" w:hAnsi="Cambria"/>
          <w:sz w:val="24"/>
          <w:szCs w:val="22"/>
          <w:lang w:eastAsia="en-US"/>
        </w:rPr>
      </w:pPr>
      <w:r>
        <w:rPr>
          <w:rFonts w:ascii="Cambria" w:eastAsia="Calibri" w:hAnsi="Cambria"/>
          <w:sz w:val="24"/>
          <w:szCs w:val="22"/>
          <w:lang w:eastAsia="en-US"/>
        </w:rPr>
        <w:t xml:space="preserve">Jan Kowalski, reprezentowany przez zawodowego pełnomocnika w osobie radcy prawnego, aż do wydania wyroku nie podniósł zarzutu przedawnienia roszczenia. Czy w tej sytuacji Sąd powinien zbadać kwestię przedawnienia z </w:t>
      </w:r>
      <w:r w:rsidR="00B77C9B">
        <w:rPr>
          <w:rFonts w:ascii="Cambria" w:eastAsia="Calibri" w:hAnsi="Cambria"/>
          <w:sz w:val="24"/>
          <w:szCs w:val="22"/>
          <w:lang w:eastAsia="en-US"/>
        </w:rPr>
        <w:t>urzędu?</w:t>
      </w:r>
    </w:p>
    <w:p w14:paraId="409C8E12" w14:textId="77777777" w:rsidR="00543B19" w:rsidRDefault="00543B19" w:rsidP="00543B19">
      <w:pPr>
        <w:ind w:left="770"/>
        <w:contextualSpacing/>
        <w:jc w:val="both"/>
        <w:rPr>
          <w:rFonts w:ascii="Cambria" w:eastAsia="Calibri" w:hAnsi="Cambria"/>
          <w:sz w:val="24"/>
          <w:szCs w:val="22"/>
          <w:lang w:eastAsia="en-US"/>
        </w:rPr>
      </w:pPr>
    </w:p>
    <w:p w14:paraId="7F1CE27C" w14:textId="46E40262" w:rsidR="00543B19" w:rsidRDefault="00543B19" w:rsidP="006A263E">
      <w:pPr>
        <w:numPr>
          <w:ilvl w:val="0"/>
          <w:numId w:val="1"/>
        </w:numPr>
        <w:contextualSpacing/>
        <w:jc w:val="both"/>
        <w:rPr>
          <w:rFonts w:ascii="Cambria" w:eastAsia="Calibri" w:hAnsi="Cambria"/>
          <w:sz w:val="24"/>
          <w:szCs w:val="22"/>
          <w:lang w:eastAsia="en-US"/>
        </w:rPr>
      </w:pPr>
      <w:r w:rsidRPr="00B77C9B">
        <w:rPr>
          <w:rFonts w:ascii="Cambria" w:eastAsia="Calibri" w:hAnsi="Cambria"/>
          <w:sz w:val="24"/>
          <w:szCs w:val="22"/>
          <w:lang w:eastAsia="en-US"/>
        </w:rPr>
        <w:t>Czy Bankowi przysługują koszty procesu od Jana Kowalskiego</w:t>
      </w:r>
      <w:r w:rsidR="00B77C9B">
        <w:rPr>
          <w:rFonts w:ascii="Cambria" w:eastAsia="Calibri" w:hAnsi="Cambria"/>
          <w:sz w:val="24"/>
          <w:szCs w:val="22"/>
          <w:lang w:eastAsia="en-US"/>
        </w:rPr>
        <w:t xml:space="preserve"> w razie wygrania procesu w całości lub w znacznej części </w:t>
      </w:r>
      <w:r w:rsidRPr="00B77C9B">
        <w:rPr>
          <w:rFonts w:ascii="Cambria" w:eastAsia="Calibri" w:hAnsi="Cambria"/>
          <w:sz w:val="24"/>
          <w:szCs w:val="22"/>
          <w:lang w:eastAsia="en-US"/>
        </w:rPr>
        <w:t xml:space="preserve">? </w:t>
      </w:r>
    </w:p>
    <w:p w14:paraId="65BECA34" w14:textId="77777777" w:rsidR="00543B19" w:rsidRDefault="00543B19" w:rsidP="00B77C9B">
      <w:pPr>
        <w:contextualSpacing/>
        <w:jc w:val="both"/>
        <w:rPr>
          <w:rFonts w:ascii="Cambria" w:eastAsia="Calibri" w:hAnsi="Cambria"/>
          <w:sz w:val="24"/>
          <w:szCs w:val="22"/>
          <w:lang w:eastAsia="en-US"/>
        </w:rPr>
      </w:pPr>
    </w:p>
    <w:p w14:paraId="777E93A0" w14:textId="205F175D" w:rsidR="00543B19" w:rsidRDefault="00543B19" w:rsidP="00957430">
      <w:pPr>
        <w:numPr>
          <w:ilvl w:val="0"/>
          <w:numId w:val="1"/>
        </w:numPr>
        <w:contextualSpacing/>
        <w:jc w:val="both"/>
        <w:rPr>
          <w:rFonts w:ascii="Cambria" w:eastAsia="Calibri" w:hAnsi="Cambria"/>
          <w:sz w:val="24"/>
          <w:szCs w:val="22"/>
          <w:lang w:eastAsia="en-US"/>
        </w:rPr>
      </w:pPr>
      <w:r w:rsidRPr="00B77C9B">
        <w:rPr>
          <w:rFonts w:ascii="Cambria" w:eastAsia="Calibri" w:hAnsi="Cambria"/>
          <w:sz w:val="24"/>
          <w:szCs w:val="22"/>
          <w:lang w:eastAsia="en-US"/>
        </w:rPr>
        <w:t xml:space="preserve">Czy na postanowienie Sądu o pominięciu dowodu z opinii biegłego sądowego przysługuje Janowi Kowalskiemu środek zaskarżenia? </w:t>
      </w:r>
    </w:p>
    <w:p w14:paraId="330411B3" w14:textId="77777777" w:rsidR="00B77C9B" w:rsidRPr="00B77C9B" w:rsidRDefault="00B77C9B" w:rsidP="00B77C9B">
      <w:pPr>
        <w:contextualSpacing/>
        <w:jc w:val="both"/>
        <w:rPr>
          <w:rFonts w:ascii="Cambria" w:eastAsia="Calibri" w:hAnsi="Cambria"/>
          <w:sz w:val="24"/>
          <w:szCs w:val="22"/>
          <w:lang w:eastAsia="en-US"/>
        </w:rPr>
      </w:pPr>
    </w:p>
    <w:p w14:paraId="3AA3FAA8" w14:textId="7B5A30B5" w:rsidR="00543B19" w:rsidRDefault="00543B19" w:rsidP="00B77C9B">
      <w:pPr>
        <w:contextualSpacing/>
        <w:jc w:val="both"/>
        <w:rPr>
          <w:rFonts w:ascii="Cambria" w:eastAsia="Calibri" w:hAnsi="Cambria"/>
          <w:sz w:val="24"/>
          <w:szCs w:val="22"/>
          <w:lang w:eastAsia="en-US"/>
        </w:rPr>
      </w:pPr>
    </w:p>
    <w:p w14:paraId="3FD3D81F" w14:textId="77777777" w:rsidR="00543B19" w:rsidRDefault="00543B19" w:rsidP="00543B19">
      <w:pPr>
        <w:ind w:left="770"/>
        <w:contextualSpacing/>
        <w:jc w:val="both"/>
        <w:rPr>
          <w:rFonts w:ascii="Cambria" w:eastAsia="Calibri" w:hAnsi="Cambria"/>
          <w:sz w:val="24"/>
          <w:szCs w:val="22"/>
          <w:lang w:eastAsia="en-US"/>
        </w:rPr>
      </w:pPr>
    </w:p>
    <w:p w14:paraId="060B4234" w14:textId="77777777" w:rsidR="00B77C9B" w:rsidRDefault="00B77C9B" w:rsidP="00543B19">
      <w:pPr>
        <w:ind w:left="770"/>
        <w:contextualSpacing/>
        <w:jc w:val="both"/>
        <w:rPr>
          <w:rFonts w:ascii="Cambria" w:eastAsia="Calibri" w:hAnsi="Cambria"/>
          <w:sz w:val="24"/>
          <w:szCs w:val="22"/>
          <w:lang w:eastAsia="en-US"/>
        </w:rPr>
      </w:pPr>
    </w:p>
    <w:p w14:paraId="47087462" w14:textId="77777777" w:rsidR="00B77C9B" w:rsidRDefault="00B77C9B" w:rsidP="00543B19">
      <w:pPr>
        <w:ind w:left="770"/>
        <w:contextualSpacing/>
        <w:jc w:val="both"/>
        <w:rPr>
          <w:rFonts w:ascii="Cambria" w:eastAsia="Calibri" w:hAnsi="Cambria"/>
          <w:sz w:val="24"/>
          <w:szCs w:val="22"/>
          <w:lang w:eastAsia="en-US"/>
        </w:rPr>
      </w:pPr>
    </w:p>
    <w:p w14:paraId="1A231512" w14:textId="77777777" w:rsidR="00B77C9B" w:rsidRDefault="00B77C9B" w:rsidP="00543B19">
      <w:pPr>
        <w:ind w:left="770"/>
        <w:contextualSpacing/>
        <w:jc w:val="both"/>
        <w:rPr>
          <w:rFonts w:ascii="Cambria" w:eastAsia="Calibri" w:hAnsi="Cambria"/>
          <w:sz w:val="24"/>
          <w:szCs w:val="22"/>
          <w:lang w:eastAsia="en-US"/>
        </w:rPr>
      </w:pPr>
    </w:p>
    <w:p w14:paraId="50882E1B" w14:textId="77777777" w:rsidR="00B77C9B" w:rsidRDefault="00B77C9B" w:rsidP="00543B19">
      <w:pPr>
        <w:ind w:left="770"/>
        <w:contextualSpacing/>
        <w:jc w:val="both"/>
        <w:rPr>
          <w:rFonts w:ascii="Cambria" w:eastAsia="Calibri" w:hAnsi="Cambria"/>
          <w:sz w:val="24"/>
          <w:szCs w:val="22"/>
          <w:lang w:eastAsia="en-US"/>
        </w:rPr>
      </w:pPr>
    </w:p>
    <w:p w14:paraId="0B0BEB41" w14:textId="77777777" w:rsidR="00B77C9B" w:rsidRDefault="00B77C9B" w:rsidP="00543B19">
      <w:pPr>
        <w:ind w:left="770"/>
        <w:contextualSpacing/>
        <w:jc w:val="both"/>
        <w:rPr>
          <w:rFonts w:ascii="Cambria" w:eastAsia="Calibri" w:hAnsi="Cambria"/>
          <w:sz w:val="24"/>
          <w:szCs w:val="22"/>
          <w:lang w:eastAsia="en-US"/>
        </w:rPr>
      </w:pPr>
    </w:p>
    <w:p w14:paraId="148197E9" w14:textId="77777777" w:rsidR="00B77C9B" w:rsidRDefault="00B77C9B" w:rsidP="00543B19">
      <w:pPr>
        <w:ind w:left="770"/>
        <w:contextualSpacing/>
        <w:jc w:val="both"/>
        <w:rPr>
          <w:rFonts w:ascii="Cambria" w:eastAsia="Calibri" w:hAnsi="Cambria"/>
          <w:sz w:val="24"/>
          <w:szCs w:val="22"/>
          <w:lang w:eastAsia="en-US"/>
        </w:rPr>
      </w:pPr>
    </w:p>
    <w:p w14:paraId="7D42DDF7" w14:textId="77777777" w:rsidR="00B77C9B" w:rsidRDefault="00B77C9B" w:rsidP="00543B19">
      <w:pPr>
        <w:ind w:left="770"/>
        <w:contextualSpacing/>
        <w:jc w:val="both"/>
        <w:rPr>
          <w:rFonts w:ascii="Cambria" w:eastAsia="Calibri" w:hAnsi="Cambria"/>
          <w:sz w:val="24"/>
          <w:szCs w:val="22"/>
          <w:lang w:eastAsia="en-US"/>
        </w:rPr>
      </w:pPr>
    </w:p>
    <w:p w14:paraId="7EEFA72D" w14:textId="77777777" w:rsidR="00B77C9B" w:rsidRDefault="00B77C9B" w:rsidP="00543B19">
      <w:pPr>
        <w:ind w:left="770"/>
        <w:contextualSpacing/>
        <w:jc w:val="both"/>
        <w:rPr>
          <w:rFonts w:ascii="Cambria" w:eastAsia="Calibri" w:hAnsi="Cambria"/>
          <w:sz w:val="24"/>
          <w:szCs w:val="22"/>
          <w:lang w:eastAsia="en-US"/>
        </w:rPr>
      </w:pPr>
    </w:p>
    <w:p w14:paraId="10647E7E" w14:textId="77777777" w:rsidR="00B77C9B" w:rsidRDefault="00B77C9B" w:rsidP="00543B19">
      <w:pPr>
        <w:ind w:left="770"/>
        <w:contextualSpacing/>
        <w:jc w:val="both"/>
        <w:rPr>
          <w:rFonts w:ascii="Cambria" w:eastAsia="Calibri" w:hAnsi="Cambria"/>
          <w:sz w:val="24"/>
          <w:szCs w:val="22"/>
          <w:lang w:eastAsia="en-US"/>
        </w:rPr>
      </w:pPr>
    </w:p>
    <w:p w14:paraId="3A497903" w14:textId="77777777" w:rsidR="00B77C9B" w:rsidRDefault="00B77C9B" w:rsidP="00543B19">
      <w:pPr>
        <w:ind w:left="770"/>
        <w:contextualSpacing/>
        <w:jc w:val="both"/>
        <w:rPr>
          <w:rFonts w:ascii="Cambria" w:eastAsia="Calibri" w:hAnsi="Cambria"/>
          <w:sz w:val="24"/>
          <w:szCs w:val="22"/>
          <w:lang w:eastAsia="en-US"/>
        </w:rPr>
      </w:pPr>
    </w:p>
    <w:p w14:paraId="3323C42F" w14:textId="77777777" w:rsidR="00B77C9B" w:rsidRDefault="00B77C9B" w:rsidP="00543B19">
      <w:pPr>
        <w:ind w:left="770"/>
        <w:contextualSpacing/>
        <w:jc w:val="both"/>
        <w:rPr>
          <w:rFonts w:ascii="Cambria" w:eastAsia="Calibri" w:hAnsi="Cambria"/>
          <w:sz w:val="24"/>
          <w:szCs w:val="22"/>
          <w:lang w:eastAsia="en-US"/>
        </w:rPr>
      </w:pPr>
    </w:p>
    <w:p w14:paraId="2DA93619" w14:textId="77777777" w:rsidR="00B77C9B" w:rsidRDefault="00B77C9B" w:rsidP="00543B19">
      <w:pPr>
        <w:ind w:left="770"/>
        <w:contextualSpacing/>
        <w:jc w:val="both"/>
        <w:rPr>
          <w:rFonts w:ascii="Cambria" w:eastAsia="Calibri" w:hAnsi="Cambria"/>
          <w:sz w:val="24"/>
          <w:szCs w:val="22"/>
          <w:lang w:eastAsia="en-US"/>
        </w:rPr>
      </w:pPr>
    </w:p>
    <w:p w14:paraId="7627DCEC" w14:textId="77777777" w:rsidR="00B77C9B" w:rsidRDefault="00B77C9B" w:rsidP="00543B19">
      <w:pPr>
        <w:ind w:left="770"/>
        <w:contextualSpacing/>
        <w:jc w:val="both"/>
        <w:rPr>
          <w:rFonts w:ascii="Cambria" w:eastAsia="Calibri" w:hAnsi="Cambria"/>
          <w:sz w:val="24"/>
          <w:szCs w:val="22"/>
          <w:lang w:eastAsia="en-US"/>
        </w:rPr>
      </w:pPr>
    </w:p>
    <w:p w14:paraId="7F9615F3" w14:textId="77777777" w:rsidR="00B77C9B" w:rsidRDefault="00B77C9B" w:rsidP="00543B19">
      <w:pPr>
        <w:ind w:left="770"/>
        <w:contextualSpacing/>
        <w:jc w:val="both"/>
        <w:rPr>
          <w:rFonts w:ascii="Cambria" w:eastAsia="Calibri" w:hAnsi="Cambria"/>
          <w:sz w:val="24"/>
          <w:szCs w:val="22"/>
          <w:lang w:eastAsia="en-US"/>
        </w:rPr>
      </w:pPr>
    </w:p>
    <w:p w14:paraId="762F0A8D" w14:textId="77777777" w:rsidR="00B77C9B" w:rsidRDefault="00B77C9B" w:rsidP="00543B19">
      <w:pPr>
        <w:ind w:left="770"/>
        <w:contextualSpacing/>
        <w:jc w:val="both"/>
        <w:rPr>
          <w:rFonts w:ascii="Cambria" w:eastAsia="Calibri" w:hAnsi="Cambria"/>
          <w:sz w:val="24"/>
          <w:szCs w:val="22"/>
          <w:lang w:eastAsia="en-US"/>
        </w:rPr>
      </w:pPr>
    </w:p>
    <w:p w14:paraId="7F530574" w14:textId="77777777" w:rsidR="00B77C9B" w:rsidRDefault="00B77C9B" w:rsidP="00543B19">
      <w:pPr>
        <w:ind w:left="770"/>
        <w:contextualSpacing/>
        <w:jc w:val="both"/>
        <w:rPr>
          <w:rFonts w:ascii="Cambria" w:eastAsia="Calibri" w:hAnsi="Cambria"/>
          <w:sz w:val="24"/>
          <w:szCs w:val="22"/>
          <w:lang w:eastAsia="en-US"/>
        </w:rPr>
      </w:pPr>
    </w:p>
    <w:p w14:paraId="72E64770" w14:textId="77777777" w:rsidR="00B77C9B" w:rsidRDefault="00B77C9B" w:rsidP="00543B19">
      <w:pPr>
        <w:ind w:left="770"/>
        <w:contextualSpacing/>
        <w:jc w:val="both"/>
        <w:rPr>
          <w:rFonts w:ascii="Cambria" w:eastAsia="Calibri" w:hAnsi="Cambria"/>
          <w:sz w:val="24"/>
          <w:szCs w:val="22"/>
          <w:lang w:eastAsia="en-US"/>
        </w:rPr>
      </w:pPr>
    </w:p>
    <w:p w14:paraId="11D29033" w14:textId="77777777" w:rsidR="00B77C9B" w:rsidRDefault="00B77C9B" w:rsidP="00543B19">
      <w:pPr>
        <w:ind w:left="770"/>
        <w:contextualSpacing/>
        <w:jc w:val="both"/>
        <w:rPr>
          <w:rFonts w:ascii="Cambria" w:eastAsia="Calibri" w:hAnsi="Cambria"/>
          <w:sz w:val="24"/>
          <w:szCs w:val="22"/>
          <w:lang w:eastAsia="en-US"/>
        </w:rPr>
      </w:pPr>
    </w:p>
    <w:p w14:paraId="57D3AF2A" w14:textId="77777777" w:rsidR="00B77C9B" w:rsidRDefault="00B77C9B" w:rsidP="00543B19">
      <w:pPr>
        <w:ind w:left="770"/>
        <w:contextualSpacing/>
        <w:jc w:val="both"/>
        <w:rPr>
          <w:rFonts w:ascii="Cambria" w:eastAsia="Calibri" w:hAnsi="Cambria"/>
          <w:sz w:val="24"/>
          <w:szCs w:val="22"/>
          <w:lang w:eastAsia="en-US"/>
        </w:rPr>
      </w:pPr>
    </w:p>
    <w:p w14:paraId="1A1DA3E6" w14:textId="77777777" w:rsidR="00B77C9B" w:rsidRDefault="00B77C9B" w:rsidP="00543B19">
      <w:pPr>
        <w:ind w:left="770"/>
        <w:contextualSpacing/>
        <w:jc w:val="both"/>
        <w:rPr>
          <w:rFonts w:ascii="Cambria" w:eastAsia="Calibri" w:hAnsi="Cambria"/>
          <w:sz w:val="24"/>
          <w:szCs w:val="22"/>
          <w:lang w:eastAsia="en-US"/>
        </w:rPr>
      </w:pPr>
    </w:p>
    <w:p w14:paraId="7D5685BE" w14:textId="77777777" w:rsidR="00B77C9B" w:rsidRDefault="00B77C9B" w:rsidP="00543B19">
      <w:pPr>
        <w:ind w:left="770"/>
        <w:contextualSpacing/>
        <w:jc w:val="both"/>
        <w:rPr>
          <w:rFonts w:ascii="Cambria" w:eastAsia="Calibri" w:hAnsi="Cambria"/>
          <w:sz w:val="24"/>
          <w:szCs w:val="22"/>
          <w:lang w:eastAsia="en-US"/>
        </w:rPr>
      </w:pPr>
    </w:p>
    <w:p w14:paraId="27584C81" w14:textId="77777777" w:rsidR="00B77C9B" w:rsidRDefault="00B77C9B" w:rsidP="00543B19">
      <w:pPr>
        <w:ind w:left="770"/>
        <w:contextualSpacing/>
        <w:jc w:val="both"/>
        <w:rPr>
          <w:rFonts w:ascii="Cambria" w:eastAsia="Calibri" w:hAnsi="Cambria"/>
          <w:sz w:val="24"/>
          <w:szCs w:val="22"/>
          <w:lang w:eastAsia="en-US"/>
        </w:rPr>
      </w:pPr>
    </w:p>
    <w:p w14:paraId="04F9AE9E" w14:textId="77777777" w:rsidR="00B77C9B" w:rsidRDefault="00B77C9B" w:rsidP="00543B19">
      <w:pPr>
        <w:ind w:left="770"/>
        <w:contextualSpacing/>
        <w:jc w:val="both"/>
        <w:rPr>
          <w:rFonts w:ascii="Cambria" w:eastAsia="Calibri" w:hAnsi="Cambria"/>
          <w:sz w:val="24"/>
          <w:szCs w:val="22"/>
          <w:lang w:eastAsia="en-US"/>
        </w:rPr>
      </w:pPr>
    </w:p>
    <w:p w14:paraId="6EBD1A2D" w14:textId="77777777" w:rsidR="00B77C9B" w:rsidRDefault="00B77C9B" w:rsidP="00543B19">
      <w:pPr>
        <w:ind w:left="770"/>
        <w:contextualSpacing/>
        <w:jc w:val="both"/>
        <w:rPr>
          <w:rFonts w:ascii="Cambria" w:eastAsia="Calibri" w:hAnsi="Cambria"/>
          <w:sz w:val="24"/>
          <w:szCs w:val="22"/>
          <w:lang w:eastAsia="en-US"/>
        </w:rPr>
      </w:pPr>
    </w:p>
    <w:p w14:paraId="338C6BA2" w14:textId="77777777" w:rsidR="00B77C9B" w:rsidRDefault="00B77C9B" w:rsidP="005E2E4A">
      <w:pPr>
        <w:contextualSpacing/>
        <w:jc w:val="both"/>
        <w:rPr>
          <w:rFonts w:ascii="Cambria" w:eastAsia="Calibri" w:hAnsi="Cambria"/>
          <w:sz w:val="24"/>
          <w:szCs w:val="22"/>
          <w:lang w:eastAsia="en-US"/>
        </w:rPr>
      </w:pPr>
    </w:p>
    <w:sectPr w:rsidR="00B77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C5196"/>
    <w:multiLevelType w:val="hybridMultilevel"/>
    <w:tmpl w:val="5ED6A548"/>
    <w:lvl w:ilvl="0" w:tplc="04150011">
      <w:start w:val="1"/>
      <w:numFmt w:val="decimal"/>
      <w:lvlText w:val="%1)"/>
      <w:lvlJc w:val="left"/>
      <w:pPr>
        <w:ind w:left="770" w:hanging="360"/>
      </w:pPr>
    </w:lvl>
    <w:lvl w:ilvl="1" w:tplc="04150019">
      <w:start w:val="1"/>
      <w:numFmt w:val="lowerLetter"/>
      <w:lvlText w:val="%2."/>
      <w:lvlJc w:val="left"/>
      <w:pPr>
        <w:ind w:left="1490" w:hanging="360"/>
      </w:pPr>
    </w:lvl>
    <w:lvl w:ilvl="2" w:tplc="0415001B">
      <w:start w:val="1"/>
      <w:numFmt w:val="lowerRoman"/>
      <w:lvlText w:val="%3."/>
      <w:lvlJc w:val="right"/>
      <w:pPr>
        <w:ind w:left="2210" w:hanging="180"/>
      </w:pPr>
    </w:lvl>
    <w:lvl w:ilvl="3" w:tplc="0415000F">
      <w:start w:val="1"/>
      <w:numFmt w:val="decimal"/>
      <w:lvlText w:val="%4."/>
      <w:lvlJc w:val="left"/>
      <w:pPr>
        <w:ind w:left="2930" w:hanging="360"/>
      </w:pPr>
    </w:lvl>
    <w:lvl w:ilvl="4" w:tplc="04150019">
      <w:start w:val="1"/>
      <w:numFmt w:val="lowerLetter"/>
      <w:lvlText w:val="%5."/>
      <w:lvlJc w:val="left"/>
      <w:pPr>
        <w:ind w:left="3650" w:hanging="360"/>
      </w:pPr>
    </w:lvl>
    <w:lvl w:ilvl="5" w:tplc="0415001B">
      <w:start w:val="1"/>
      <w:numFmt w:val="lowerRoman"/>
      <w:lvlText w:val="%6."/>
      <w:lvlJc w:val="right"/>
      <w:pPr>
        <w:ind w:left="4370" w:hanging="180"/>
      </w:pPr>
    </w:lvl>
    <w:lvl w:ilvl="6" w:tplc="0415000F">
      <w:start w:val="1"/>
      <w:numFmt w:val="decimal"/>
      <w:lvlText w:val="%7."/>
      <w:lvlJc w:val="left"/>
      <w:pPr>
        <w:ind w:left="5090" w:hanging="360"/>
      </w:pPr>
    </w:lvl>
    <w:lvl w:ilvl="7" w:tplc="04150019">
      <w:start w:val="1"/>
      <w:numFmt w:val="lowerLetter"/>
      <w:lvlText w:val="%8."/>
      <w:lvlJc w:val="left"/>
      <w:pPr>
        <w:ind w:left="5810" w:hanging="360"/>
      </w:pPr>
    </w:lvl>
    <w:lvl w:ilvl="8" w:tplc="0415001B">
      <w:start w:val="1"/>
      <w:numFmt w:val="lowerRoman"/>
      <w:lvlText w:val="%9."/>
      <w:lvlJc w:val="right"/>
      <w:pPr>
        <w:ind w:left="6530" w:hanging="180"/>
      </w:pPr>
    </w:lvl>
  </w:abstractNum>
  <w:num w:numId="1" w16cid:durableId="11883266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19"/>
    <w:rsid w:val="001264F0"/>
    <w:rsid w:val="00135F36"/>
    <w:rsid w:val="00146B47"/>
    <w:rsid w:val="001541B8"/>
    <w:rsid w:val="0018799B"/>
    <w:rsid w:val="002055B0"/>
    <w:rsid w:val="002E2293"/>
    <w:rsid w:val="00313AA7"/>
    <w:rsid w:val="003C1324"/>
    <w:rsid w:val="00543B19"/>
    <w:rsid w:val="005E2E4A"/>
    <w:rsid w:val="0075018A"/>
    <w:rsid w:val="00802889"/>
    <w:rsid w:val="008263E3"/>
    <w:rsid w:val="00A04ED7"/>
    <w:rsid w:val="00A40F80"/>
    <w:rsid w:val="00AD5012"/>
    <w:rsid w:val="00B77C9B"/>
    <w:rsid w:val="00C75C15"/>
    <w:rsid w:val="00F04F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E4EC"/>
  <w15:chartTrackingRefBased/>
  <w15:docId w15:val="{5D35BF3C-D05A-46DC-8C74-373671CC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3B19"/>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543B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43B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43B1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43B1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43B1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43B1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43B1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43B1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43B1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43B1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43B1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43B1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43B1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43B1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43B1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43B1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43B1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43B19"/>
    <w:rPr>
      <w:rFonts w:eastAsiaTheme="majorEastAsia" w:cstheme="majorBidi"/>
      <w:color w:val="272727" w:themeColor="text1" w:themeTint="D8"/>
    </w:rPr>
  </w:style>
  <w:style w:type="paragraph" w:styleId="Tytu">
    <w:name w:val="Title"/>
    <w:basedOn w:val="Normalny"/>
    <w:next w:val="Normalny"/>
    <w:link w:val="TytuZnak"/>
    <w:uiPriority w:val="10"/>
    <w:qFormat/>
    <w:rsid w:val="00543B1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43B1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43B1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43B1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43B19"/>
    <w:pPr>
      <w:spacing w:before="160"/>
      <w:jc w:val="center"/>
    </w:pPr>
    <w:rPr>
      <w:i/>
      <w:iCs/>
      <w:color w:val="404040" w:themeColor="text1" w:themeTint="BF"/>
    </w:rPr>
  </w:style>
  <w:style w:type="character" w:customStyle="1" w:styleId="CytatZnak">
    <w:name w:val="Cytat Znak"/>
    <w:basedOn w:val="Domylnaczcionkaakapitu"/>
    <w:link w:val="Cytat"/>
    <w:uiPriority w:val="29"/>
    <w:rsid w:val="00543B19"/>
    <w:rPr>
      <w:i/>
      <w:iCs/>
      <w:color w:val="404040" w:themeColor="text1" w:themeTint="BF"/>
    </w:rPr>
  </w:style>
  <w:style w:type="paragraph" w:styleId="Akapitzlist">
    <w:name w:val="List Paragraph"/>
    <w:basedOn w:val="Normalny"/>
    <w:uiPriority w:val="34"/>
    <w:qFormat/>
    <w:rsid w:val="00543B19"/>
    <w:pPr>
      <w:ind w:left="720"/>
      <w:contextualSpacing/>
    </w:pPr>
  </w:style>
  <w:style w:type="character" w:styleId="Wyrnienieintensywne">
    <w:name w:val="Intense Emphasis"/>
    <w:basedOn w:val="Domylnaczcionkaakapitu"/>
    <w:uiPriority w:val="21"/>
    <w:qFormat/>
    <w:rsid w:val="00543B19"/>
    <w:rPr>
      <w:i/>
      <w:iCs/>
      <w:color w:val="2F5496" w:themeColor="accent1" w:themeShade="BF"/>
    </w:rPr>
  </w:style>
  <w:style w:type="paragraph" w:styleId="Cytatintensywny">
    <w:name w:val="Intense Quote"/>
    <w:basedOn w:val="Normalny"/>
    <w:next w:val="Normalny"/>
    <w:link w:val="CytatintensywnyZnak"/>
    <w:uiPriority w:val="30"/>
    <w:qFormat/>
    <w:rsid w:val="00543B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43B19"/>
    <w:rPr>
      <w:i/>
      <w:iCs/>
      <w:color w:val="2F5496" w:themeColor="accent1" w:themeShade="BF"/>
    </w:rPr>
  </w:style>
  <w:style w:type="character" w:styleId="Odwoanieintensywne">
    <w:name w:val="Intense Reference"/>
    <w:basedOn w:val="Domylnaczcionkaakapitu"/>
    <w:uiPriority w:val="32"/>
    <w:qFormat/>
    <w:rsid w:val="00543B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2397">
      <w:bodyDiv w:val="1"/>
      <w:marLeft w:val="0"/>
      <w:marRight w:val="0"/>
      <w:marTop w:val="0"/>
      <w:marBottom w:val="0"/>
      <w:divBdr>
        <w:top w:val="none" w:sz="0" w:space="0" w:color="auto"/>
        <w:left w:val="none" w:sz="0" w:space="0" w:color="auto"/>
        <w:bottom w:val="none" w:sz="0" w:space="0" w:color="auto"/>
        <w:right w:val="none" w:sz="0" w:space="0" w:color="auto"/>
      </w:divBdr>
    </w:div>
    <w:div w:id="181406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3564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Siubdzia Beata</dc:creator>
  <cp:keywords/>
  <dc:description/>
  <cp:lastModifiedBy>Nabiałek Dorota</cp:lastModifiedBy>
  <cp:revision>2</cp:revision>
  <cp:lastPrinted>2025-05-05T08:13:00Z</cp:lastPrinted>
  <dcterms:created xsi:type="dcterms:W3CDTF">2025-05-05T08:13:00Z</dcterms:created>
  <dcterms:modified xsi:type="dcterms:W3CDTF">2025-05-05T08:13:00Z</dcterms:modified>
</cp:coreProperties>
</file>