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FA49" w14:textId="77777777" w:rsidR="00FD64E8" w:rsidRDefault="00FD64E8"/>
    <w:p w14:paraId="3796A68D" w14:textId="77777777" w:rsidR="00A83CBE" w:rsidRPr="00A83CBE" w:rsidRDefault="00A83CBE">
      <w:pPr>
        <w:rPr>
          <w:sz w:val="32"/>
          <w:szCs w:val="32"/>
        </w:rPr>
      </w:pPr>
      <w:r>
        <w:rPr>
          <w:sz w:val="32"/>
          <w:szCs w:val="32"/>
        </w:rPr>
        <w:t xml:space="preserve">BLOK CYWILNY </w:t>
      </w:r>
    </w:p>
    <w:p w14:paraId="29803582" w14:textId="77777777" w:rsidR="00A83CBE" w:rsidRDefault="00A83CBE"/>
    <w:p w14:paraId="36917E3D" w14:textId="77777777" w:rsidR="00A83CBE" w:rsidRDefault="00DB39E6" w:rsidP="00F171F5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Zgodnie z KC, jeżeli przedsiębiorca otrzymał od osoby, z którą pozostaje w stałych stosunkach gospodarczych ofertę zawarcia umowy w ramach swej działalności, brak niezwłocznej odpowiedzi poczytuje się za:</w:t>
      </w:r>
    </w:p>
    <w:p w14:paraId="06A4C4FA" w14:textId="77777777" w:rsidR="00DB39E6" w:rsidRDefault="00DB39E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zakończenie współpracy </w:t>
      </w:r>
    </w:p>
    <w:p w14:paraId="7A2563FD" w14:textId="77777777" w:rsidR="00DB39E6" w:rsidRDefault="00DB39E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odrzucenie oferty </w:t>
      </w:r>
    </w:p>
    <w:p w14:paraId="0779D175" w14:textId="77777777" w:rsidR="00DB39E6" w:rsidRDefault="00DB39E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przyjęcie oferty </w:t>
      </w:r>
    </w:p>
    <w:p w14:paraId="67652262" w14:textId="77777777" w:rsidR="00DB39E6" w:rsidRDefault="00C800B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zaproszenie do rokowań </w:t>
      </w:r>
    </w:p>
    <w:p w14:paraId="2DE5023D" w14:textId="77777777" w:rsidR="00C800B6" w:rsidRDefault="00C800B6" w:rsidP="00C800B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Zgodnie z KC, ogłoszenie o przetargu może być zmienion</w:t>
      </w:r>
      <w:r w:rsidR="00F71BC8">
        <w:rPr>
          <w:sz w:val="28"/>
          <w:szCs w:val="28"/>
        </w:rPr>
        <w:t>e</w:t>
      </w:r>
      <w:r>
        <w:rPr>
          <w:sz w:val="28"/>
          <w:szCs w:val="28"/>
        </w:rPr>
        <w:t xml:space="preserve"> tylko wtedy, gdy:</w:t>
      </w:r>
    </w:p>
    <w:p w14:paraId="4593A292" w14:textId="77777777" w:rsidR="00C800B6" w:rsidRDefault="00C800B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nie wpłynęła żadna oferta</w:t>
      </w:r>
    </w:p>
    <w:p w14:paraId="4BD08EA9" w14:textId="77777777" w:rsidR="00C800B6" w:rsidRDefault="00C800B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zgodę wyrazili wszyscy oferenci</w:t>
      </w:r>
    </w:p>
    <w:p w14:paraId="1AFDB826" w14:textId="77777777" w:rsidR="00C800B6" w:rsidRDefault="00C800B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zastrzeżono to w treści ogłoszenia o przetargu </w:t>
      </w:r>
    </w:p>
    <w:p w14:paraId="128E399D" w14:textId="77777777" w:rsidR="00F171F5" w:rsidRDefault="00C800B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71F5">
        <w:rPr>
          <w:sz w:val="28"/>
          <w:szCs w:val="28"/>
        </w:rPr>
        <w:t>organizatorem przetargu jest przedsiębiorca</w:t>
      </w:r>
    </w:p>
    <w:p w14:paraId="7544EB2A" w14:textId="77777777" w:rsidR="00C800B6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3. Zgodnie z KC, podstęp osoby trzeciej:</w:t>
      </w:r>
    </w:p>
    <w:p w14:paraId="6FFE8DC3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jest zawsze jednoznaczny z podstępem strony</w:t>
      </w:r>
    </w:p>
    <w:p w14:paraId="13915413" w14:textId="77777777" w:rsidR="00F171F5" w:rsidRDefault="00F171F5" w:rsidP="00F1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jest jednoznaczny z podstęp</w:t>
      </w:r>
      <w:r w:rsidR="00F71BC8">
        <w:rPr>
          <w:sz w:val="28"/>
          <w:szCs w:val="28"/>
        </w:rPr>
        <w:t>em</w:t>
      </w:r>
      <w:r>
        <w:rPr>
          <w:sz w:val="28"/>
          <w:szCs w:val="28"/>
        </w:rPr>
        <w:t xml:space="preserve"> strony, jeśli ta o podstępie wiedziała i nie zawiadomiła o nim drugiej strony, albo, jeżeli czynność prawna była nieodpłatna</w:t>
      </w:r>
    </w:p>
    <w:p w14:paraId="49531579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jest jednoznaczny z podstępem strony , tylko gdy ta o podstępie wiedziała i nie zawiadomiła o nim drugiej strony</w:t>
      </w:r>
    </w:p>
    <w:p w14:paraId="136BA21E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nigdy nie jest jednoznaczny z podstępem strony</w:t>
      </w:r>
    </w:p>
    <w:p w14:paraId="2337269A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4. zgodnie z KC, producentem musi być:</w:t>
      </w:r>
    </w:p>
    <w:p w14:paraId="15D0A349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osoba prawna </w:t>
      </w:r>
    </w:p>
    <w:p w14:paraId="0014E9FC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jednostka organizacyjna niebędąca osobą prawną, której ustawa przyznaje zdolność prawną</w:t>
      </w:r>
    </w:p>
    <w:p w14:paraId="3D612072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osoba fizyczna mająca ograniczoną zdolność do czynności prawnych </w:t>
      </w:r>
    </w:p>
    <w:p w14:paraId="52267C39" w14:textId="77777777" w:rsidR="00F171F5" w:rsidRDefault="00F171F5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osoba fizyczna mająca pełną zdolność do czynności </w:t>
      </w:r>
      <w:r w:rsidR="009F7EC0">
        <w:rPr>
          <w:sz w:val="28"/>
          <w:szCs w:val="28"/>
        </w:rPr>
        <w:t xml:space="preserve">prawnych. </w:t>
      </w:r>
    </w:p>
    <w:p w14:paraId="297870C6" w14:textId="77777777" w:rsidR="009F7EC0" w:rsidRDefault="009F7EC0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5. zgodnie z KC, jeżeli według ustawy prawo jest zbywalne:</w:t>
      </w:r>
    </w:p>
    <w:p w14:paraId="0C8B1C26" w14:textId="77777777" w:rsidR="009F7EC0" w:rsidRDefault="009F7EC0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nie można wyłączyć lub ograniczyć uprawnienia do zniesienia prawa</w:t>
      </w:r>
    </w:p>
    <w:p w14:paraId="4FC38478" w14:textId="77777777" w:rsidR="009F7EC0" w:rsidRDefault="009F7EC0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można za zgodą obu stron wyłączyć lub </w:t>
      </w:r>
      <w:r w:rsidR="00A61CC6">
        <w:rPr>
          <w:sz w:val="28"/>
          <w:szCs w:val="28"/>
        </w:rPr>
        <w:t>ograniczyć uprawnienie  do zniesienia prawa</w:t>
      </w:r>
    </w:p>
    <w:p w14:paraId="1ABDBEF2" w14:textId="77777777" w:rsidR="00A61CC6" w:rsidRDefault="00A61CC6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można za zgodą obu stron ograniczyć uprawnienia do zniesienia prawa</w:t>
      </w:r>
    </w:p>
    <w:p w14:paraId="7C530B19" w14:textId="77777777" w:rsidR="00A6142A" w:rsidRDefault="00A6142A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można za zgodą obu stron wyłączyć lub ograniczyć uprawnienia do zniesienia prawa pod warunkiem zachowania formy aktu notarialnego. </w:t>
      </w:r>
    </w:p>
    <w:p w14:paraId="18DDBF56" w14:textId="77777777" w:rsidR="00A6142A" w:rsidRDefault="00A6142A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6. zgodnie z KC rzeczami są:</w:t>
      </w:r>
    </w:p>
    <w:p w14:paraId="0E020676" w14:textId="77777777" w:rsidR="00A6142A" w:rsidRDefault="00A6142A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przedmioty materialne</w:t>
      </w:r>
    </w:p>
    <w:p w14:paraId="7EBE8387" w14:textId="77777777" w:rsidR="00A6142A" w:rsidRDefault="00A6142A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przedmioty niematerialne, gdy są przedmiotem czynności prawnej</w:t>
      </w:r>
    </w:p>
    <w:p w14:paraId="6DC8C7C1" w14:textId="77777777" w:rsidR="00A6142A" w:rsidRDefault="00A6142A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wierzytelności </w:t>
      </w:r>
    </w:p>
    <w:p w14:paraId="4AA41EBD" w14:textId="77777777" w:rsidR="00A6142A" w:rsidRDefault="00A6142A" w:rsidP="00DB39E6">
      <w:pPr>
        <w:ind w:left="360"/>
        <w:rPr>
          <w:sz w:val="28"/>
          <w:szCs w:val="28"/>
        </w:rPr>
      </w:pPr>
      <w:r>
        <w:rPr>
          <w:sz w:val="28"/>
          <w:szCs w:val="28"/>
        </w:rPr>
        <w:t>- tylko nieruchomości</w:t>
      </w:r>
    </w:p>
    <w:p w14:paraId="153C1A98" w14:textId="77777777" w:rsidR="00A6142A" w:rsidRDefault="00A6142A" w:rsidP="00A614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zgodnie z KC, jeżeli zawarcie umowy przenoszącej własność nieruchomości następuje w wykonaniu zobowiązania wynikającego z uprzednio zawartej umowy zobowiązującej do przeniesienia własności, ważność </w:t>
      </w:r>
      <w:r w:rsidR="002A2571">
        <w:rPr>
          <w:sz w:val="28"/>
          <w:szCs w:val="28"/>
        </w:rPr>
        <w:t>umowy przenoszącej własność zależy od:</w:t>
      </w:r>
    </w:p>
    <w:p w14:paraId="3DD4FC35" w14:textId="77777777" w:rsidR="002A2571" w:rsidRDefault="002A2571" w:rsidP="00A614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zachowania formy pisemnej </w:t>
      </w:r>
      <w:r w:rsidR="00F71BC8">
        <w:rPr>
          <w:sz w:val="28"/>
          <w:szCs w:val="28"/>
        </w:rPr>
        <w:t xml:space="preserve">umowy </w:t>
      </w:r>
      <w:r>
        <w:rPr>
          <w:sz w:val="28"/>
          <w:szCs w:val="28"/>
        </w:rPr>
        <w:t>zobowiązujące</w:t>
      </w:r>
      <w:r w:rsidR="00F71BC8">
        <w:rPr>
          <w:sz w:val="28"/>
          <w:szCs w:val="28"/>
        </w:rPr>
        <w:t>j</w:t>
      </w:r>
      <w:r>
        <w:rPr>
          <w:sz w:val="28"/>
          <w:szCs w:val="28"/>
        </w:rPr>
        <w:t xml:space="preserve"> </w:t>
      </w:r>
    </w:p>
    <w:p w14:paraId="2EDC3F91" w14:textId="77777777" w:rsidR="002A2571" w:rsidRDefault="002A2571" w:rsidP="00A614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równoczesnego przeniesienia posiadania tych nieruchomości </w:t>
      </w:r>
    </w:p>
    <w:p w14:paraId="527F6E00" w14:textId="77777777" w:rsidR="002A2571" w:rsidRDefault="002A2571" w:rsidP="00A614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tego czy zbywca jest właścicielem tych nieruchomości </w:t>
      </w:r>
    </w:p>
    <w:p w14:paraId="7DABC50C" w14:textId="77777777" w:rsidR="002A2571" w:rsidRDefault="002A2571" w:rsidP="00A614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istnienia tego zobowiązania</w:t>
      </w:r>
    </w:p>
    <w:p w14:paraId="41B34F67" w14:textId="77777777" w:rsidR="002A2571" w:rsidRDefault="002A2571" w:rsidP="00A614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 zgodnie z KC osob</w:t>
      </w:r>
      <w:r w:rsidR="00F71BC8">
        <w:rPr>
          <w:sz w:val="28"/>
          <w:szCs w:val="28"/>
        </w:rPr>
        <w:t>a</w:t>
      </w:r>
      <w:r>
        <w:rPr>
          <w:sz w:val="28"/>
          <w:szCs w:val="28"/>
        </w:rPr>
        <w:t xml:space="preserve"> działając</w:t>
      </w:r>
      <w:r w:rsidR="00F71BC8">
        <w:rPr>
          <w:sz w:val="28"/>
          <w:szCs w:val="28"/>
        </w:rPr>
        <w:t>a</w:t>
      </w:r>
      <w:r>
        <w:rPr>
          <w:sz w:val="28"/>
          <w:szCs w:val="28"/>
        </w:rPr>
        <w:t xml:space="preserve"> w złej wierze, nabywającą od nieuprawnionego do rozporządzania dokument na okaziciela utracony przez właściciela:</w:t>
      </w:r>
    </w:p>
    <w:p w14:paraId="16F9E794" w14:textId="77777777" w:rsidR="002A2571" w:rsidRDefault="002A2571" w:rsidP="00A6142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nabywa własność tego dokumentu z chwilą objęcia go w posiadanie </w:t>
      </w:r>
    </w:p>
    <w:p w14:paraId="0C35E559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nabywa własność tego dokumentu nie wcześniej niż z upływem 3 lat od chwili utraty </w:t>
      </w:r>
    </w:p>
    <w:p w14:paraId="0AAC2CE0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nie nabywa własności tego dokumentu </w:t>
      </w:r>
    </w:p>
    <w:p w14:paraId="0A4240EE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nabywa własność tego dokumentu po objęciu go w posiadanie jednak nie wcześniej niż z upływem 3 lat od chwili utraty.  </w:t>
      </w:r>
    </w:p>
    <w:p w14:paraId="2AC19CBD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Zgodnie z KC roszczenie właściciela rzeczy o przywrócenie stanu zgodnego z prawem </w:t>
      </w:r>
    </w:p>
    <w:p w14:paraId="60A6D3ED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nie ulega przedawnieniu w każdym przypadku </w:t>
      </w:r>
    </w:p>
    <w:p w14:paraId="7B1D200F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nie ulega przedawnieniu wyłącznie, jeżeli dotyczy rzeczy wpisanej do krajowego rejestru utraconych dóbr kultury</w:t>
      </w:r>
    </w:p>
    <w:p w14:paraId="2763CE0C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nie ulega przedawnieniu wyłącznie, gdy dotyczy nieruchomości </w:t>
      </w:r>
    </w:p>
    <w:p w14:paraId="3AE459BB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przedawnia się w każdym przypadku z upływem lat dziesięciu </w:t>
      </w:r>
    </w:p>
    <w:p w14:paraId="65533DB0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zgodnie z KC po wygaśnięciu użytkowania obejmującego rzeczy oznaczone tylko, co do gatunku użytkownik obowiązany jest do ich zwrotu wg. przepisów o:</w:t>
      </w:r>
    </w:p>
    <w:p w14:paraId="45727236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bezpodstawnym wzbogaceniu </w:t>
      </w:r>
    </w:p>
    <w:p w14:paraId="52946353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zwrocie rzeczy użyczonej </w:t>
      </w:r>
    </w:p>
    <w:p w14:paraId="21B33B99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zwrocie pożyczki </w:t>
      </w:r>
    </w:p>
    <w:p w14:paraId="74022B41" w14:textId="77777777" w:rsidR="002A2571" w:rsidRDefault="002A2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zwrocie pożytków </w:t>
      </w:r>
    </w:p>
    <w:p w14:paraId="1242522E" w14:textId="77777777" w:rsidR="008075EA" w:rsidRDefault="008075EA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zgodnie z </w:t>
      </w:r>
      <w:r w:rsidR="003A0571">
        <w:rPr>
          <w:sz w:val="28"/>
          <w:szCs w:val="28"/>
        </w:rPr>
        <w:t>KC, jeżeli</w:t>
      </w:r>
      <w:r>
        <w:rPr>
          <w:sz w:val="28"/>
          <w:szCs w:val="28"/>
        </w:rPr>
        <w:t xml:space="preserve"> wysokość odsetek wynikających z czynności prawnej </w:t>
      </w:r>
      <w:r w:rsidR="003A0571">
        <w:rPr>
          <w:sz w:val="28"/>
          <w:szCs w:val="28"/>
        </w:rPr>
        <w:t>przekracza</w:t>
      </w:r>
      <w:r>
        <w:rPr>
          <w:sz w:val="28"/>
          <w:szCs w:val="28"/>
        </w:rPr>
        <w:t xml:space="preserve"> wysokość odsetek </w:t>
      </w:r>
      <w:r w:rsidR="003A0571">
        <w:rPr>
          <w:sz w:val="28"/>
          <w:szCs w:val="28"/>
        </w:rPr>
        <w:t>maksymalnych</w:t>
      </w:r>
      <w:r>
        <w:rPr>
          <w:sz w:val="28"/>
          <w:szCs w:val="28"/>
        </w:rPr>
        <w:t xml:space="preserve"> nalezą się odsetki:</w:t>
      </w:r>
    </w:p>
    <w:p w14:paraId="1557620A" w14:textId="77777777" w:rsidR="008075EA" w:rsidRDefault="008075EA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maksymalne</w:t>
      </w:r>
    </w:p>
    <w:p w14:paraId="5458DD5E" w14:textId="77777777" w:rsidR="008075EA" w:rsidRDefault="008075EA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0571">
        <w:rPr>
          <w:sz w:val="28"/>
          <w:szCs w:val="28"/>
        </w:rPr>
        <w:t>ustawowe</w:t>
      </w:r>
      <w:r>
        <w:rPr>
          <w:sz w:val="28"/>
          <w:szCs w:val="28"/>
        </w:rPr>
        <w:t xml:space="preserve"> </w:t>
      </w:r>
    </w:p>
    <w:p w14:paraId="703140C7" w14:textId="77777777" w:rsidR="008075EA" w:rsidRDefault="008075EA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nie wyższe niż maksymalne określone w prawie o</w:t>
      </w:r>
      <w:r w:rsidR="003A0571">
        <w:rPr>
          <w:sz w:val="28"/>
          <w:szCs w:val="28"/>
        </w:rPr>
        <w:t>bcym, w razie dokonania wyboru takiego prawa</w:t>
      </w:r>
    </w:p>
    <w:p w14:paraId="2C8F0622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ustawowe określone w prawie obcym w razie dokonania </w:t>
      </w:r>
      <w:r w:rsidR="00F71BC8">
        <w:rPr>
          <w:sz w:val="28"/>
          <w:szCs w:val="28"/>
        </w:rPr>
        <w:t xml:space="preserve">wyboru </w:t>
      </w:r>
      <w:r>
        <w:rPr>
          <w:sz w:val="28"/>
          <w:szCs w:val="28"/>
        </w:rPr>
        <w:t>takiego prawa</w:t>
      </w:r>
    </w:p>
    <w:p w14:paraId="05EB194D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12. zgodnie z K.C jeżeli darczyńca skutecznie odwołał darowiznę zwrot jej przedmiotu powinien nastąpić stosownie do przepisów:</w:t>
      </w:r>
    </w:p>
    <w:p w14:paraId="2736555F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 bezpodstawnym wzbogaceniu </w:t>
      </w:r>
    </w:p>
    <w:p w14:paraId="6A75F267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 dożywociu </w:t>
      </w:r>
    </w:p>
    <w:p w14:paraId="49E151E7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 użyczeniu </w:t>
      </w:r>
    </w:p>
    <w:p w14:paraId="640FE7C1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 zwrocie przedmiotu najmu </w:t>
      </w:r>
    </w:p>
    <w:p w14:paraId="513AB2FA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zgodnie z K.C stwierdzenie treści testamentu ustnego poprzez spisanie oświadczenia spadkodawcy przez jednego ze świadków testamentu powinno być podpisane przez</w:t>
      </w:r>
    </w:p>
    <w:p w14:paraId="53F0EED2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spadkodawcę i dwóch świadków albo wszystkich świadków </w:t>
      </w:r>
    </w:p>
    <w:p w14:paraId="5D06CB80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spadkodawcę i wszystkich spadkobierców</w:t>
      </w:r>
    </w:p>
    <w:p w14:paraId="68B9C5D7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spadkodawcę i jednego świadka</w:t>
      </w:r>
    </w:p>
    <w:p w14:paraId="39E7A8DD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dwóch świadków </w:t>
      </w:r>
    </w:p>
    <w:p w14:paraId="0746055F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14. zgodnie z K. C do roszczeń miedzy spadkobiercą a wykonawcą testamentu wynikającego ze sprawowania zarządu oznaczonym składnikiem spadku stosuje się odpowiednio przepisy o:</w:t>
      </w:r>
    </w:p>
    <w:p w14:paraId="2448D43F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zleceniu za wynagrodzeniem </w:t>
      </w:r>
    </w:p>
    <w:p w14:paraId="19033A59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prowadzeniu cudzych spraw bez zlecenia </w:t>
      </w:r>
    </w:p>
    <w:p w14:paraId="2BE22A6C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pełnomocnictwie </w:t>
      </w:r>
    </w:p>
    <w:p w14:paraId="1E822CA8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prokurze</w:t>
      </w:r>
    </w:p>
    <w:p w14:paraId="02F7DE16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zgodnie  z K. C spadkobierca który przyjął udział spadkowy może ten udział zbyć:</w:t>
      </w:r>
    </w:p>
    <w:p w14:paraId="7A0F962E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tylko za zgodą pozostałych spadkobierców </w:t>
      </w:r>
    </w:p>
    <w:p w14:paraId="430158A7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tylko za zgodą większości pozostałych spadkobierców </w:t>
      </w:r>
    </w:p>
    <w:p w14:paraId="25B2C57A" w14:textId="77777777" w:rsidR="003A0571" w:rsidRDefault="003A0571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tylko za zgodą tych spośród pozostałych spadkobierców, których uprawnienia wynikające z przepisów </w:t>
      </w:r>
      <w:r w:rsidR="00B378F2">
        <w:rPr>
          <w:sz w:val="28"/>
          <w:szCs w:val="28"/>
        </w:rPr>
        <w:t>o dziale spadku zostaną przez to zbycie naruszone</w:t>
      </w:r>
    </w:p>
    <w:p w14:paraId="564EA5BF" w14:textId="77777777" w:rsidR="00B378F2" w:rsidRDefault="00B378F2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bez </w:t>
      </w:r>
      <w:r w:rsidR="00664277">
        <w:rPr>
          <w:sz w:val="28"/>
          <w:szCs w:val="28"/>
        </w:rPr>
        <w:t>zgody pozostałych</w:t>
      </w:r>
      <w:r>
        <w:rPr>
          <w:sz w:val="28"/>
          <w:szCs w:val="28"/>
        </w:rPr>
        <w:t xml:space="preserve"> spadkobierców </w:t>
      </w:r>
    </w:p>
    <w:p w14:paraId="223974B8" w14:textId="77777777" w:rsidR="00B378F2" w:rsidRDefault="00B378F2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zgodnie z k.p.c.  w sprawach o wydanie przedmiotu najmu, wartość przedmiotu sporu, </w:t>
      </w:r>
      <w:r w:rsidR="00664277">
        <w:rPr>
          <w:sz w:val="28"/>
          <w:szCs w:val="28"/>
        </w:rPr>
        <w:t>przy umowach zawartych na czas nieoznaczony stanowi:</w:t>
      </w:r>
    </w:p>
    <w:p w14:paraId="113F72A4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suma czynszu za rok</w:t>
      </w:r>
    </w:p>
    <w:p w14:paraId="4A1DAF1B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suma czynszu za 6 m – cy </w:t>
      </w:r>
    </w:p>
    <w:p w14:paraId="6FD37B1E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suma czynszu za 3 m – ce </w:t>
      </w:r>
    </w:p>
    <w:p w14:paraId="1F2725B6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wartość przedmiotu najmu </w:t>
      </w:r>
    </w:p>
    <w:p w14:paraId="3BDE7BAD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17. zgodnie z kpc Sąd uznając roszczenie za usprawiedliwione w zasadzie może wydać wyrok wstępny tylko, co do samej zasady, co do spornej zaś wysokości żądania:</w:t>
      </w:r>
    </w:p>
    <w:p w14:paraId="613B7D67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zawiesić postępowanie </w:t>
      </w:r>
    </w:p>
    <w:p w14:paraId="4246C54A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umorzyć postępowanie </w:t>
      </w:r>
    </w:p>
    <w:p w14:paraId="300B7ECD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zarządzić dalszą rozprawę </w:t>
      </w:r>
    </w:p>
    <w:p w14:paraId="440C4CEC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zwrócić pozew</w:t>
      </w:r>
    </w:p>
    <w:p w14:paraId="26EFDA65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 zgodnie z KPC spóźniony wniosek o doręczenie wyroku z uzasadnieniem Sąd na posiedzeniu niejawnym:</w:t>
      </w:r>
    </w:p>
    <w:p w14:paraId="5A9A144E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oddala </w:t>
      </w:r>
    </w:p>
    <w:p w14:paraId="6409D657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zwraca</w:t>
      </w:r>
    </w:p>
    <w:p w14:paraId="6870B7EC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odrzuca </w:t>
      </w:r>
    </w:p>
    <w:p w14:paraId="474CBD4A" w14:textId="77777777" w:rsidR="00664277" w:rsidRDefault="00664277" w:rsidP="002A25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pozostawia bez rozpoznania </w:t>
      </w:r>
    </w:p>
    <w:p w14:paraId="66069094" w14:textId="77777777" w:rsidR="00664277" w:rsidRDefault="00664277" w:rsidP="002A2571">
      <w:pPr>
        <w:ind w:left="360"/>
        <w:jc w:val="both"/>
        <w:rPr>
          <w:sz w:val="28"/>
          <w:szCs w:val="28"/>
        </w:rPr>
      </w:pPr>
    </w:p>
    <w:p w14:paraId="24E56FA9" w14:textId="77777777" w:rsidR="002A2571" w:rsidRPr="00DB39E6" w:rsidRDefault="002A2571" w:rsidP="002A2571">
      <w:pPr>
        <w:ind w:left="360"/>
        <w:jc w:val="both"/>
        <w:rPr>
          <w:sz w:val="28"/>
          <w:szCs w:val="28"/>
        </w:rPr>
      </w:pPr>
    </w:p>
    <w:p w14:paraId="10F95D78" w14:textId="77777777" w:rsidR="00A83CBE" w:rsidRPr="00A83CBE" w:rsidRDefault="00A83CBE">
      <w:pPr>
        <w:rPr>
          <w:sz w:val="28"/>
          <w:szCs w:val="28"/>
        </w:rPr>
      </w:pPr>
    </w:p>
    <w:sectPr w:rsidR="00A83CBE" w:rsidRPr="00A83CBE" w:rsidSect="006B40DE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83AF" w14:textId="77777777" w:rsidR="00D37CB4" w:rsidRDefault="00D37CB4" w:rsidP="009C5B64">
      <w:pPr>
        <w:spacing w:after="0" w:line="240" w:lineRule="auto"/>
      </w:pPr>
      <w:r>
        <w:separator/>
      </w:r>
    </w:p>
  </w:endnote>
  <w:endnote w:type="continuationSeparator" w:id="0">
    <w:p w14:paraId="0542B883" w14:textId="77777777" w:rsidR="00D37CB4" w:rsidRDefault="00D37CB4" w:rsidP="009C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A7537" w14:textId="77777777" w:rsidR="00D37CB4" w:rsidRDefault="00D37CB4" w:rsidP="009C5B64">
      <w:pPr>
        <w:spacing w:after="0" w:line="240" w:lineRule="auto"/>
      </w:pPr>
      <w:r>
        <w:separator/>
      </w:r>
    </w:p>
  </w:footnote>
  <w:footnote w:type="continuationSeparator" w:id="0">
    <w:p w14:paraId="4253301D" w14:textId="77777777" w:rsidR="00D37CB4" w:rsidRDefault="00D37CB4" w:rsidP="009C5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2DF1"/>
    <w:multiLevelType w:val="hybridMultilevel"/>
    <w:tmpl w:val="E7F0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1342"/>
    <w:multiLevelType w:val="hybridMultilevel"/>
    <w:tmpl w:val="4AF4FD36"/>
    <w:lvl w:ilvl="0" w:tplc="7312DEA0">
      <w:start w:val="1"/>
      <w:numFmt w:val="decimal"/>
      <w:lvlText w:val="%1."/>
      <w:lvlJc w:val="left"/>
      <w:pPr>
        <w:ind w:left="16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1" w:hanging="360"/>
      </w:pPr>
    </w:lvl>
    <w:lvl w:ilvl="2" w:tplc="0415001B" w:tentative="1">
      <w:start w:val="1"/>
      <w:numFmt w:val="lowerRoman"/>
      <w:lvlText w:val="%3."/>
      <w:lvlJc w:val="right"/>
      <w:pPr>
        <w:ind w:left="3091" w:hanging="180"/>
      </w:pPr>
    </w:lvl>
    <w:lvl w:ilvl="3" w:tplc="0415000F" w:tentative="1">
      <w:start w:val="1"/>
      <w:numFmt w:val="decimal"/>
      <w:lvlText w:val="%4."/>
      <w:lvlJc w:val="left"/>
      <w:pPr>
        <w:ind w:left="3811" w:hanging="360"/>
      </w:pPr>
    </w:lvl>
    <w:lvl w:ilvl="4" w:tplc="04150019" w:tentative="1">
      <w:start w:val="1"/>
      <w:numFmt w:val="lowerLetter"/>
      <w:lvlText w:val="%5."/>
      <w:lvlJc w:val="left"/>
      <w:pPr>
        <w:ind w:left="4531" w:hanging="360"/>
      </w:pPr>
    </w:lvl>
    <w:lvl w:ilvl="5" w:tplc="0415001B" w:tentative="1">
      <w:start w:val="1"/>
      <w:numFmt w:val="lowerRoman"/>
      <w:lvlText w:val="%6."/>
      <w:lvlJc w:val="right"/>
      <w:pPr>
        <w:ind w:left="5251" w:hanging="180"/>
      </w:pPr>
    </w:lvl>
    <w:lvl w:ilvl="6" w:tplc="0415000F" w:tentative="1">
      <w:start w:val="1"/>
      <w:numFmt w:val="decimal"/>
      <w:lvlText w:val="%7."/>
      <w:lvlJc w:val="left"/>
      <w:pPr>
        <w:ind w:left="5971" w:hanging="360"/>
      </w:pPr>
    </w:lvl>
    <w:lvl w:ilvl="7" w:tplc="04150019" w:tentative="1">
      <w:start w:val="1"/>
      <w:numFmt w:val="lowerLetter"/>
      <w:lvlText w:val="%8."/>
      <w:lvlJc w:val="left"/>
      <w:pPr>
        <w:ind w:left="6691" w:hanging="360"/>
      </w:pPr>
    </w:lvl>
    <w:lvl w:ilvl="8" w:tplc="0415001B" w:tentative="1">
      <w:start w:val="1"/>
      <w:numFmt w:val="lowerRoman"/>
      <w:lvlText w:val="%9."/>
      <w:lvlJc w:val="right"/>
      <w:pPr>
        <w:ind w:left="7411" w:hanging="180"/>
      </w:pPr>
    </w:lvl>
  </w:abstractNum>
  <w:abstractNum w:abstractNumId="2" w15:restartNumberingAfterBreak="0">
    <w:nsid w:val="122F3DB6"/>
    <w:multiLevelType w:val="hybridMultilevel"/>
    <w:tmpl w:val="50285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D4963"/>
    <w:multiLevelType w:val="hybridMultilevel"/>
    <w:tmpl w:val="983225C6"/>
    <w:lvl w:ilvl="0" w:tplc="03BA6C42">
      <w:start w:val="1"/>
      <w:numFmt w:val="decimal"/>
      <w:lvlText w:val="%1."/>
      <w:lvlJc w:val="left"/>
      <w:pPr>
        <w:ind w:left="16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1" w:hanging="360"/>
      </w:pPr>
    </w:lvl>
    <w:lvl w:ilvl="2" w:tplc="0415001B" w:tentative="1">
      <w:start w:val="1"/>
      <w:numFmt w:val="lowerRoman"/>
      <w:lvlText w:val="%3."/>
      <w:lvlJc w:val="right"/>
      <w:pPr>
        <w:ind w:left="3091" w:hanging="180"/>
      </w:pPr>
    </w:lvl>
    <w:lvl w:ilvl="3" w:tplc="0415000F" w:tentative="1">
      <w:start w:val="1"/>
      <w:numFmt w:val="decimal"/>
      <w:lvlText w:val="%4."/>
      <w:lvlJc w:val="left"/>
      <w:pPr>
        <w:ind w:left="3811" w:hanging="360"/>
      </w:pPr>
    </w:lvl>
    <w:lvl w:ilvl="4" w:tplc="04150019" w:tentative="1">
      <w:start w:val="1"/>
      <w:numFmt w:val="lowerLetter"/>
      <w:lvlText w:val="%5."/>
      <w:lvlJc w:val="left"/>
      <w:pPr>
        <w:ind w:left="4531" w:hanging="360"/>
      </w:pPr>
    </w:lvl>
    <w:lvl w:ilvl="5" w:tplc="0415001B" w:tentative="1">
      <w:start w:val="1"/>
      <w:numFmt w:val="lowerRoman"/>
      <w:lvlText w:val="%6."/>
      <w:lvlJc w:val="right"/>
      <w:pPr>
        <w:ind w:left="5251" w:hanging="180"/>
      </w:pPr>
    </w:lvl>
    <w:lvl w:ilvl="6" w:tplc="0415000F" w:tentative="1">
      <w:start w:val="1"/>
      <w:numFmt w:val="decimal"/>
      <w:lvlText w:val="%7."/>
      <w:lvlJc w:val="left"/>
      <w:pPr>
        <w:ind w:left="5971" w:hanging="360"/>
      </w:pPr>
    </w:lvl>
    <w:lvl w:ilvl="7" w:tplc="04150019" w:tentative="1">
      <w:start w:val="1"/>
      <w:numFmt w:val="lowerLetter"/>
      <w:lvlText w:val="%8."/>
      <w:lvlJc w:val="left"/>
      <w:pPr>
        <w:ind w:left="6691" w:hanging="360"/>
      </w:pPr>
    </w:lvl>
    <w:lvl w:ilvl="8" w:tplc="0415001B" w:tentative="1">
      <w:start w:val="1"/>
      <w:numFmt w:val="lowerRoman"/>
      <w:lvlText w:val="%9."/>
      <w:lvlJc w:val="right"/>
      <w:pPr>
        <w:ind w:left="7411" w:hanging="180"/>
      </w:pPr>
    </w:lvl>
  </w:abstractNum>
  <w:abstractNum w:abstractNumId="4" w15:restartNumberingAfterBreak="0">
    <w:nsid w:val="32423A32"/>
    <w:multiLevelType w:val="hybridMultilevel"/>
    <w:tmpl w:val="EE98C1E6"/>
    <w:lvl w:ilvl="0" w:tplc="4322F26E">
      <w:start w:val="1"/>
      <w:numFmt w:val="decimal"/>
      <w:lvlText w:val="%1."/>
      <w:lvlJc w:val="left"/>
      <w:pPr>
        <w:ind w:left="1651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371" w:hanging="360"/>
      </w:pPr>
    </w:lvl>
    <w:lvl w:ilvl="2" w:tplc="0415001B" w:tentative="1">
      <w:start w:val="1"/>
      <w:numFmt w:val="lowerRoman"/>
      <w:lvlText w:val="%3."/>
      <w:lvlJc w:val="right"/>
      <w:pPr>
        <w:ind w:left="3091" w:hanging="180"/>
      </w:pPr>
    </w:lvl>
    <w:lvl w:ilvl="3" w:tplc="0415000F" w:tentative="1">
      <w:start w:val="1"/>
      <w:numFmt w:val="decimal"/>
      <w:lvlText w:val="%4."/>
      <w:lvlJc w:val="left"/>
      <w:pPr>
        <w:ind w:left="3811" w:hanging="360"/>
      </w:pPr>
    </w:lvl>
    <w:lvl w:ilvl="4" w:tplc="04150019" w:tentative="1">
      <w:start w:val="1"/>
      <w:numFmt w:val="lowerLetter"/>
      <w:lvlText w:val="%5."/>
      <w:lvlJc w:val="left"/>
      <w:pPr>
        <w:ind w:left="4531" w:hanging="360"/>
      </w:pPr>
    </w:lvl>
    <w:lvl w:ilvl="5" w:tplc="0415001B" w:tentative="1">
      <w:start w:val="1"/>
      <w:numFmt w:val="lowerRoman"/>
      <w:lvlText w:val="%6."/>
      <w:lvlJc w:val="right"/>
      <w:pPr>
        <w:ind w:left="5251" w:hanging="180"/>
      </w:pPr>
    </w:lvl>
    <w:lvl w:ilvl="6" w:tplc="0415000F" w:tentative="1">
      <w:start w:val="1"/>
      <w:numFmt w:val="decimal"/>
      <w:lvlText w:val="%7."/>
      <w:lvlJc w:val="left"/>
      <w:pPr>
        <w:ind w:left="5971" w:hanging="360"/>
      </w:pPr>
    </w:lvl>
    <w:lvl w:ilvl="7" w:tplc="04150019" w:tentative="1">
      <w:start w:val="1"/>
      <w:numFmt w:val="lowerLetter"/>
      <w:lvlText w:val="%8."/>
      <w:lvlJc w:val="left"/>
      <w:pPr>
        <w:ind w:left="6691" w:hanging="360"/>
      </w:pPr>
    </w:lvl>
    <w:lvl w:ilvl="8" w:tplc="0415001B" w:tentative="1">
      <w:start w:val="1"/>
      <w:numFmt w:val="lowerRoman"/>
      <w:lvlText w:val="%9."/>
      <w:lvlJc w:val="right"/>
      <w:pPr>
        <w:ind w:left="7411" w:hanging="180"/>
      </w:pPr>
    </w:lvl>
  </w:abstractNum>
  <w:abstractNum w:abstractNumId="5" w15:restartNumberingAfterBreak="0">
    <w:nsid w:val="3CBA65B9"/>
    <w:multiLevelType w:val="hybridMultilevel"/>
    <w:tmpl w:val="1C0A2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E51F8"/>
    <w:multiLevelType w:val="hybridMultilevel"/>
    <w:tmpl w:val="AED22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500D2"/>
    <w:multiLevelType w:val="hybridMultilevel"/>
    <w:tmpl w:val="B3008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454D6"/>
    <w:multiLevelType w:val="hybridMultilevel"/>
    <w:tmpl w:val="0CFA4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A2D73"/>
    <w:multiLevelType w:val="hybridMultilevel"/>
    <w:tmpl w:val="0D3E625E"/>
    <w:lvl w:ilvl="0" w:tplc="009E18F0">
      <w:start w:val="1"/>
      <w:numFmt w:val="decimal"/>
      <w:lvlText w:val="%1."/>
      <w:lvlJc w:val="left"/>
      <w:pPr>
        <w:ind w:left="16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1" w:hanging="360"/>
      </w:pPr>
    </w:lvl>
    <w:lvl w:ilvl="2" w:tplc="0415001B" w:tentative="1">
      <w:start w:val="1"/>
      <w:numFmt w:val="lowerRoman"/>
      <w:lvlText w:val="%3."/>
      <w:lvlJc w:val="right"/>
      <w:pPr>
        <w:ind w:left="3091" w:hanging="180"/>
      </w:pPr>
    </w:lvl>
    <w:lvl w:ilvl="3" w:tplc="0415000F" w:tentative="1">
      <w:start w:val="1"/>
      <w:numFmt w:val="decimal"/>
      <w:lvlText w:val="%4."/>
      <w:lvlJc w:val="left"/>
      <w:pPr>
        <w:ind w:left="3811" w:hanging="360"/>
      </w:pPr>
    </w:lvl>
    <w:lvl w:ilvl="4" w:tplc="04150019" w:tentative="1">
      <w:start w:val="1"/>
      <w:numFmt w:val="lowerLetter"/>
      <w:lvlText w:val="%5."/>
      <w:lvlJc w:val="left"/>
      <w:pPr>
        <w:ind w:left="4531" w:hanging="360"/>
      </w:pPr>
    </w:lvl>
    <w:lvl w:ilvl="5" w:tplc="0415001B" w:tentative="1">
      <w:start w:val="1"/>
      <w:numFmt w:val="lowerRoman"/>
      <w:lvlText w:val="%6."/>
      <w:lvlJc w:val="right"/>
      <w:pPr>
        <w:ind w:left="5251" w:hanging="180"/>
      </w:pPr>
    </w:lvl>
    <w:lvl w:ilvl="6" w:tplc="0415000F" w:tentative="1">
      <w:start w:val="1"/>
      <w:numFmt w:val="decimal"/>
      <w:lvlText w:val="%7."/>
      <w:lvlJc w:val="left"/>
      <w:pPr>
        <w:ind w:left="5971" w:hanging="360"/>
      </w:pPr>
    </w:lvl>
    <w:lvl w:ilvl="7" w:tplc="04150019" w:tentative="1">
      <w:start w:val="1"/>
      <w:numFmt w:val="lowerLetter"/>
      <w:lvlText w:val="%8."/>
      <w:lvlJc w:val="left"/>
      <w:pPr>
        <w:ind w:left="6691" w:hanging="360"/>
      </w:pPr>
    </w:lvl>
    <w:lvl w:ilvl="8" w:tplc="0415001B" w:tentative="1">
      <w:start w:val="1"/>
      <w:numFmt w:val="lowerRoman"/>
      <w:lvlText w:val="%9."/>
      <w:lvlJc w:val="right"/>
      <w:pPr>
        <w:ind w:left="7411" w:hanging="180"/>
      </w:pPr>
    </w:lvl>
  </w:abstractNum>
  <w:num w:numId="1" w16cid:durableId="2061978559">
    <w:abstractNumId w:val="4"/>
  </w:num>
  <w:num w:numId="2" w16cid:durableId="1105463988">
    <w:abstractNumId w:val="9"/>
  </w:num>
  <w:num w:numId="3" w16cid:durableId="1941372994">
    <w:abstractNumId w:val="3"/>
  </w:num>
  <w:num w:numId="4" w16cid:durableId="357779908">
    <w:abstractNumId w:val="1"/>
  </w:num>
  <w:num w:numId="5" w16cid:durableId="1072196413">
    <w:abstractNumId w:val="5"/>
  </w:num>
  <w:num w:numId="6" w16cid:durableId="1037050664">
    <w:abstractNumId w:val="2"/>
  </w:num>
  <w:num w:numId="7" w16cid:durableId="1792506819">
    <w:abstractNumId w:val="0"/>
  </w:num>
  <w:num w:numId="8" w16cid:durableId="1676569832">
    <w:abstractNumId w:val="6"/>
  </w:num>
  <w:num w:numId="9" w16cid:durableId="2042591618">
    <w:abstractNumId w:val="8"/>
  </w:num>
  <w:num w:numId="10" w16cid:durableId="134882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B2"/>
    <w:rsid w:val="00003D6B"/>
    <w:rsid w:val="00007B33"/>
    <w:rsid w:val="000131F2"/>
    <w:rsid w:val="000324C2"/>
    <w:rsid w:val="00047E1B"/>
    <w:rsid w:val="00057F08"/>
    <w:rsid w:val="00062EF2"/>
    <w:rsid w:val="000835FC"/>
    <w:rsid w:val="00091B3C"/>
    <w:rsid w:val="000B2508"/>
    <w:rsid w:val="000B35CF"/>
    <w:rsid w:val="000C68B8"/>
    <w:rsid w:val="000D448F"/>
    <w:rsid w:val="000D4CBD"/>
    <w:rsid w:val="000E3003"/>
    <w:rsid w:val="000F3CF6"/>
    <w:rsid w:val="001117DA"/>
    <w:rsid w:val="00120129"/>
    <w:rsid w:val="001279A2"/>
    <w:rsid w:val="00140000"/>
    <w:rsid w:val="0015157B"/>
    <w:rsid w:val="00194F62"/>
    <w:rsid w:val="001A189B"/>
    <w:rsid w:val="001A46CB"/>
    <w:rsid w:val="001B63D4"/>
    <w:rsid w:val="001C14CB"/>
    <w:rsid w:val="001C3532"/>
    <w:rsid w:val="001F0247"/>
    <w:rsid w:val="001F2E16"/>
    <w:rsid w:val="00210615"/>
    <w:rsid w:val="0021612B"/>
    <w:rsid w:val="00220B40"/>
    <w:rsid w:val="00220EBA"/>
    <w:rsid w:val="00223113"/>
    <w:rsid w:val="00223A51"/>
    <w:rsid w:val="00225AA2"/>
    <w:rsid w:val="0029346B"/>
    <w:rsid w:val="0029417F"/>
    <w:rsid w:val="002A2571"/>
    <w:rsid w:val="002D2DCD"/>
    <w:rsid w:val="002D54A5"/>
    <w:rsid w:val="002F1993"/>
    <w:rsid w:val="002F46F0"/>
    <w:rsid w:val="00304D94"/>
    <w:rsid w:val="003167A2"/>
    <w:rsid w:val="00324607"/>
    <w:rsid w:val="003260CF"/>
    <w:rsid w:val="003331A2"/>
    <w:rsid w:val="003415EF"/>
    <w:rsid w:val="00361235"/>
    <w:rsid w:val="0037423D"/>
    <w:rsid w:val="003869DF"/>
    <w:rsid w:val="003A0571"/>
    <w:rsid w:val="003A1CD0"/>
    <w:rsid w:val="003A6AC3"/>
    <w:rsid w:val="003E26B2"/>
    <w:rsid w:val="00402AA7"/>
    <w:rsid w:val="004105CF"/>
    <w:rsid w:val="00417A66"/>
    <w:rsid w:val="0042723F"/>
    <w:rsid w:val="00436F88"/>
    <w:rsid w:val="00446DBD"/>
    <w:rsid w:val="00451957"/>
    <w:rsid w:val="004E2305"/>
    <w:rsid w:val="004E5006"/>
    <w:rsid w:val="00501D01"/>
    <w:rsid w:val="00504E62"/>
    <w:rsid w:val="00535D48"/>
    <w:rsid w:val="00553C03"/>
    <w:rsid w:val="00572F4E"/>
    <w:rsid w:val="00575459"/>
    <w:rsid w:val="00582B46"/>
    <w:rsid w:val="00592975"/>
    <w:rsid w:val="005A0B02"/>
    <w:rsid w:val="005A386B"/>
    <w:rsid w:val="005C34A5"/>
    <w:rsid w:val="005F2DD9"/>
    <w:rsid w:val="005F440E"/>
    <w:rsid w:val="0065425B"/>
    <w:rsid w:val="00664277"/>
    <w:rsid w:val="0067437F"/>
    <w:rsid w:val="00693F58"/>
    <w:rsid w:val="006A050A"/>
    <w:rsid w:val="006B40DE"/>
    <w:rsid w:val="006B5A61"/>
    <w:rsid w:val="006C0FE4"/>
    <w:rsid w:val="006D6526"/>
    <w:rsid w:val="006F087F"/>
    <w:rsid w:val="00724A4F"/>
    <w:rsid w:val="00744C8D"/>
    <w:rsid w:val="00747737"/>
    <w:rsid w:val="00755952"/>
    <w:rsid w:val="007561A8"/>
    <w:rsid w:val="00773443"/>
    <w:rsid w:val="00797C1C"/>
    <w:rsid w:val="007A4A0D"/>
    <w:rsid w:val="007B03F9"/>
    <w:rsid w:val="007B3B3A"/>
    <w:rsid w:val="007F4674"/>
    <w:rsid w:val="0080159F"/>
    <w:rsid w:val="00805CD2"/>
    <w:rsid w:val="008075EA"/>
    <w:rsid w:val="0083599B"/>
    <w:rsid w:val="008508D8"/>
    <w:rsid w:val="0086336F"/>
    <w:rsid w:val="00866C31"/>
    <w:rsid w:val="00873F07"/>
    <w:rsid w:val="00892191"/>
    <w:rsid w:val="008929B6"/>
    <w:rsid w:val="00897695"/>
    <w:rsid w:val="008D0555"/>
    <w:rsid w:val="008E41ED"/>
    <w:rsid w:val="008E645A"/>
    <w:rsid w:val="00901C84"/>
    <w:rsid w:val="009065A2"/>
    <w:rsid w:val="00931A1A"/>
    <w:rsid w:val="00945C00"/>
    <w:rsid w:val="00945D28"/>
    <w:rsid w:val="00957FED"/>
    <w:rsid w:val="00967DC7"/>
    <w:rsid w:val="0097103F"/>
    <w:rsid w:val="009910B5"/>
    <w:rsid w:val="009A1E58"/>
    <w:rsid w:val="009B3934"/>
    <w:rsid w:val="009C5B64"/>
    <w:rsid w:val="009F7EC0"/>
    <w:rsid w:val="00A061E7"/>
    <w:rsid w:val="00A20DB8"/>
    <w:rsid w:val="00A45543"/>
    <w:rsid w:val="00A54704"/>
    <w:rsid w:val="00A6142A"/>
    <w:rsid w:val="00A6182E"/>
    <w:rsid w:val="00A61CC6"/>
    <w:rsid w:val="00A63DE6"/>
    <w:rsid w:val="00A83CBE"/>
    <w:rsid w:val="00AA167A"/>
    <w:rsid w:val="00AA3FCC"/>
    <w:rsid w:val="00AB6E95"/>
    <w:rsid w:val="00AF3E61"/>
    <w:rsid w:val="00AF6B79"/>
    <w:rsid w:val="00AF7041"/>
    <w:rsid w:val="00B017DA"/>
    <w:rsid w:val="00B17787"/>
    <w:rsid w:val="00B20EAE"/>
    <w:rsid w:val="00B35270"/>
    <w:rsid w:val="00B378F2"/>
    <w:rsid w:val="00B62EB7"/>
    <w:rsid w:val="00B71B2B"/>
    <w:rsid w:val="00B732A5"/>
    <w:rsid w:val="00BB5E0C"/>
    <w:rsid w:val="00BE66AC"/>
    <w:rsid w:val="00BE760D"/>
    <w:rsid w:val="00BF4FA8"/>
    <w:rsid w:val="00BF7C05"/>
    <w:rsid w:val="00C252E5"/>
    <w:rsid w:val="00C40B88"/>
    <w:rsid w:val="00C800B6"/>
    <w:rsid w:val="00CA1671"/>
    <w:rsid w:val="00CB5CCF"/>
    <w:rsid w:val="00CD6D4B"/>
    <w:rsid w:val="00CF68BB"/>
    <w:rsid w:val="00CF72B7"/>
    <w:rsid w:val="00D2595E"/>
    <w:rsid w:val="00D26EBC"/>
    <w:rsid w:val="00D37CB4"/>
    <w:rsid w:val="00D83FDF"/>
    <w:rsid w:val="00D86350"/>
    <w:rsid w:val="00D86D43"/>
    <w:rsid w:val="00D95549"/>
    <w:rsid w:val="00DA0F42"/>
    <w:rsid w:val="00DA2CC5"/>
    <w:rsid w:val="00DB39E6"/>
    <w:rsid w:val="00DE796D"/>
    <w:rsid w:val="00E2161E"/>
    <w:rsid w:val="00E50157"/>
    <w:rsid w:val="00E742C5"/>
    <w:rsid w:val="00E87C60"/>
    <w:rsid w:val="00EA10CE"/>
    <w:rsid w:val="00EB6B2C"/>
    <w:rsid w:val="00EC0B1E"/>
    <w:rsid w:val="00ED4FAF"/>
    <w:rsid w:val="00F0724E"/>
    <w:rsid w:val="00F11B43"/>
    <w:rsid w:val="00F171F5"/>
    <w:rsid w:val="00F34F9A"/>
    <w:rsid w:val="00F570F6"/>
    <w:rsid w:val="00F650CC"/>
    <w:rsid w:val="00F71BC8"/>
    <w:rsid w:val="00FA7AB3"/>
    <w:rsid w:val="00FB1896"/>
    <w:rsid w:val="00FB7D29"/>
    <w:rsid w:val="00FD64E8"/>
    <w:rsid w:val="00FF21DE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AC09"/>
  <w15:docId w15:val="{15E6A502-DDFF-47C0-8F71-CB7D4C8F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732A5"/>
    <w:pPr>
      <w:keepNext/>
      <w:spacing w:after="0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2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Normalny"/>
    <w:uiPriority w:val="99"/>
    <w:rsid w:val="00B73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B73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B732A5"/>
    <w:pPr>
      <w:widowControl w:val="0"/>
      <w:autoSpaceDE w:val="0"/>
      <w:autoSpaceDN w:val="0"/>
      <w:adjustRightInd w:val="0"/>
      <w:spacing w:after="0" w:line="375" w:lineRule="exact"/>
      <w:ind w:firstLine="12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B732A5"/>
    <w:pPr>
      <w:widowControl w:val="0"/>
      <w:autoSpaceDE w:val="0"/>
      <w:autoSpaceDN w:val="0"/>
      <w:adjustRightInd w:val="0"/>
      <w:spacing w:after="0" w:line="378" w:lineRule="exact"/>
      <w:ind w:firstLine="6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B732A5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29">
    <w:name w:val="Font Style29"/>
    <w:basedOn w:val="Domylnaczcionkaakapitu"/>
    <w:uiPriority w:val="99"/>
    <w:rsid w:val="00B732A5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30">
    <w:name w:val="Font Style30"/>
    <w:basedOn w:val="Domylnaczcionkaakapitu"/>
    <w:uiPriority w:val="99"/>
    <w:rsid w:val="00B732A5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31">
    <w:name w:val="Font Style31"/>
    <w:basedOn w:val="Domylnaczcionkaakapitu"/>
    <w:uiPriority w:val="99"/>
    <w:rsid w:val="00B732A5"/>
    <w:rPr>
      <w:rFonts w:ascii="Times New Roman" w:hAnsi="Times New Roman" w:cs="Times New Roman"/>
      <w:b/>
      <w:bCs/>
      <w:spacing w:val="-20"/>
      <w:sz w:val="24"/>
      <w:szCs w:val="24"/>
    </w:rPr>
  </w:style>
  <w:style w:type="character" w:styleId="Hipercze">
    <w:name w:val="Hyperlink"/>
    <w:basedOn w:val="Domylnaczcionkaakapitu"/>
    <w:uiPriority w:val="99"/>
    <w:rsid w:val="00B732A5"/>
    <w:rPr>
      <w:rFonts w:cs="Times New Roman"/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2A5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semiHidden/>
    <w:rsid w:val="00B732A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B732A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732A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B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B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B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3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2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so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cichalewska.a</dc:creator>
  <cp:lastModifiedBy>Szymańska Katarzyna</cp:lastModifiedBy>
  <cp:revision>2</cp:revision>
  <cp:lastPrinted>2015-12-04T07:42:00Z</cp:lastPrinted>
  <dcterms:created xsi:type="dcterms:W3CDTF">2026-07-22T08:00:00Z</dcterms:created>
  <dcterms:modified xsi:type="dcterms:W3CDTF">2026-07-22T08:00:00Z</dcterms:modified>
</cp:coreProperties>
</file>