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DBB" w:rsidRPr="00450DBB" w:rsidRDefault="00450DBB" w:rsidP="00450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DBB">
        <w:rPr>
          <w:rFonts w:ascii="Times New Roman" w:hAnsi="Times New Roman" w:cs="Times New Roman"/>
          <w:b/>
          <w:sz w:val="24"/>
          <w:szCs w:val="24"/>
        </w:rPr>
        <w:t xml:space="preserve">PYTANIA TESTOWE NA KONKURS </w:t>
      </w:r>
    </w:p>
    <w:p w:rsidR="00FB580C" w:rsidRPr="00450DBB" w:rsidRDefault="00450DBB" w:rsidP="00450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DBB">
        <w:rPr>
          <w:rFonts w:ascii="Times New Roman" w:hAnsi="Times New Roman" w:cs="Times New Roman"/>
          <w:b/>
          <w:sz w:val="24"/>
          <w:szCs w:val="24"/>
        </w:rPr>
        <w:t xml:space="preserve">NA STANOWISKO ASYSTENTA W SĄDZIE REJONOWYM </w:t>
      </w:r>
    </w:p>
    <w:p w:rsidR="00450DBB" w:rsidRDefault="00450DBB" w:rsidP="00450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DBB">
        <w:rPr>
          <w:rFonts w:ascii="Times New Roman" w:hAnsi="Times New Roman" w:cs="Times New Roman"/>
          <w:b/>
          <w:sz w:val="24"/>
          <w:szCs w:val="24"/>
        </w:rPr>
        <w:t>W OPOCZNIE</w:t>
      </w:r>
    </w:p>
    <w:p w:rsidR="00450DBB" w:rsidRDefault="00450DBB" w:rsidP="00450D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DBB" w:rsidRPr="00450DBB" w:rsidRDefault="00450DBB" w:rsidP="00450DBB">
      <w:pPr>
        <w:spacing w:line="360" w:lineRule="auto"/>
        <w:rPr>
          <w:rFonts w:ascii="Times New Roman" w:hAnsi="Times New Roman" w:cs="Times New Roman"/>
        </w:rPr>
      </w:pPr>
    </w:p>
    <w:p w:rsidR="00450DBB" w:rsidRPr="00450DBB" w:rsidRDefault="00450DBB" w:rsidP="00450DB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450DBB">
        <w:rPr>
          <w:rFonts w:ascii="Times New Roman" w:hAnsi="Times New Roman" w:cs="Times New Roman"/>
          <w:b/>
        </w:rPr>
        <w:t>Zgodnie z Kodeksem karnym, ten</w:t>
      </w:r>
      <w:r>
        <w:rPr>
          <w:rFonts w:ascii="Times New Roman" w:hAnsi="Times New Roman" w:cs="Times New Roman"/>
          <w:b/>
        </w:rPr>
        <w:t>,</w:t>
      </w:r>
      <w:r w:rsidRPr="00450DBB">
        <w:rPr>
          <w:rFonts w:ascii="Times New Roman" w:hAnsi="Times New Roman" w:cs="Times New Roman"/>
          <w:b/>
        </w:rPr>
        <w:t xml:space="preserve"> kto kieruje wykonaniem czynu zabronionego przez inną osobę lub wykorzystując uzależnienie innej osoby od siebie, poleca jej wykonanie takiego czynu, odpowiada za:</w:t>
      </w:r>
    </w:p>
    <w:p w:rsidR="00450DBB" w:rsidRPr="00450DBB" w:rsidRDefault="00450DBB" w:rsidP="00450D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450DBB">
        <w:rPr>
          <w:rFonts w:ascii="Times New Roman" w:hAnsi="Times New Roman" w:cs="Times New Roman"/>
        </w:rPr>
        <w:t>podżeganie,</w:t>
      </w:r>
    </w:p>
    <w:p w:rsidR="00450DBB" w:rsidRPr="00450DBB" w:rsidRDefault="00450DBB" w:rsidP="00450D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450DBB">
        <w:rPr>
          <w:rFonts w:ascii="Times New Roman" w:hAnsi="Times New Roman" w:cs="Times New Roman"/>
        </w:rPr>
        <w:t>pomocnictwo,</w:t>
      </w:r>
    </w:p>
    <w:p w:rsidR="00450DBB" w:rsidRDefault="00450DBB" w:rsidP="00450D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450DBB">
        <w:rPr>
          <w:rFonts w:ascii="Times New Roman" w:hAnsi="Times New Roman" w:cs="Times New Roman"/>
        </w:rPr>
        <w:t xml:space="preserve">sprawstwo. </w:t>
      </w:r>
    </w:p>
    <w:p w:rsidR="00FB28A0" w:rsidRPr="00FB28A0" w:rsidRDefault="00FB28A0" w:rsidP="00FB28A0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450DBB" w:rsidRPr="002F0BA1" w:rsidRDefault="00450DBB" w:rsidP="00450DB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2F0BA1">
        <w:rPr>
          <w:rFonts w:ascii="Times New Roman" w:hAnsi="Times New Roman" w:cs="Times New Roman"/>
          <w:b/>
        </w:rPr>
        <w:t>Zgodnie z Kodeksem karnym, kto działa w celu przeprowadzenia dopuszczalnego eksperymentu poznawczego, jeżeli spodziewana korzyść ma istotne znaczenie poznawcze,  a oczekiwanie jej osiągnięcia, celowość oraz sposób przeprowadzenia ek</w:t>
      </w:r>
      <w:r w:rsidR="002F0BA1" w:rsidRPr="002F0BA1">
        <w:rPr>
          <w:rFonts w:ascii="Times New Roman" w:hAnsi="Times New Roman" w:cs="Times New Roman"/>
          <w:b/>
        </w:rPr>
        <w:t>sperymentu są zasadne w świetle aktualnego stanu wiedzy:</w:t>
      </w:r>
    </w:p>
    <w:p w:rsidR="002F0BA1" w:rsidRDefault="002F0BA1" w:rsidP="002F0BA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podlega karze,</w:t>
      </w:r>
    </w:p>
    <w:p w:rsidR="002F0BA1" w:rsidRDefault="002F0BA1" w:rsidP="002F0BA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popełnia przestępstwa,</w:t>
      </w:r>
    </w:p>
    <w:p w:rsidR="002F0BA1" w:rsidRDefault="002F0BA1" w:rsidP="002F0BA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podlega karze, ale sąd odstępuje od jej wymierzenia.</w:t>
      </w:r>
    </w:p>
    <w:p w:rsidR="002F0BA1" w:rsidRDefault="002F0BA1" w:rsidP="002F0BA1">
      <w:pPr>
        <w:spacing w:line="360" w:lineRule="auto"/>
        <w:jc w:val="both"/>
        <w:rPr>
          <w:rFonts w:ascii="Times New Roman" w:hAnsi="Times New Roman" w:cs="Times New Roman"/>
        </w:rPr>
      </w:pPr>
    </w:p>
    <w:p w:rsidR="002F0BA1" w:rsidRPr="002F0BA1" w:rsidRDefault="002F0BA1" w:rsidP="002F0BA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2F0BA1">
        <w:rPr>
          <w:rFonts w:ascii="Times New Roman" w:hAnsi="Times New Roman" w:cs="Times New Roman"/>
          <w:b/>
        </w:rPr>
        <w:t>Zgodnie z Kodeksem karnym, środek karny w postaci zakazu wstępu na imprezę masową orzeka się w latach:</w:t>
      </w:r>
    </w:p>
    <w:p w:rsidR="002F0BA1" w:rsidRDefault="002F0BA1" w:rsidP="002F0BA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roku do lat 10,</w:t>
      </w:r>
    </w:p>
    <w:p w:rsidR="002F0BA1" w:rsidRDefault="002F0BA1" w:rsidP="002F0BA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lat 2 do 6,</w:t>
      </w:r>
    </w:p>
    <w:p w:rsidR="002F0BA1" w:rsidRDefault="002F0BA1" w:rsidP="002F0BA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roku do lat 15.</w:t>
      </w:r>
    </w:p>
    <w:p w:rsidR="002F0BA1" w:rsidRPr="005B5121" w:rsidRDefault="002F0BA1" w:rsidP="002F0BA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2F0BA1" w:rsidRPr="005B5121" w:rsidRDefault="002F0BA1" w:rsidP="002F0BA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5B5121">
        <w:rPr>
          <w:rFonts w:ascii="Times New Roman" w:hAnsi="Times New Roman" w:cs="Times New Roman"/>
          <w:b/>
        </w:rPr>
        <w:t xml:space="preserve">Zgodnie z Kodeksem karnym, uprzednia karalność sprawcy za przestępstwo umyślne wyłącza możliwość: </w:t>
      </w:r>
    </w:p>
    <w:p w:rsidR="002F0BA1" w:rsidRDefault="005B5121" w:rsidP="002F0BA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F0BA1">
        <w:rPr>
          <w:rFonts w:ascii="Times New Roman" w:hAnsi="Times New Roman" w:cs="Times New Roman"/>
        </w:rPr>
        <w:t>morzenia postępowania karnego z uwagi na znikomą społeczną szkodliwość  czynu,</w:t>
      </w:r>
    </w:p>
    <w:p w:rsidR="002F0BA1" w:rsidRDefault="005B5121" w:rsidP="002F0BA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2F0BA1">
        <w:rPr>
          <w:rFonts w:ascii="Times New Roman" w:hAnsi="Times New Roman" w:cs="Times New Roman"/>
        </w:rPr>
        <w:t>adzwyczajnego złagodzenia kary,</w:t>
      </w:r>
    </w:p>
    <w:p w:rsidR="002F0BA1" w:rsidRDefault="005B5121" w:rsidP="002F0BA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F0BA1">
        <w:rPr>
          <w:rFonts w:ascii="Times New Roman" w:hAnsi="Times New Roman" w:cs="Times New Roman"/>
        </w:rPr>
        <w:t>arunkowego umorzenia postępowania karnego.</w:t>
      </w:r>
    </w:p>
    <w:p w:rsidR="00B61EE3" w:rsidRDefault="00B61EE3" w:rsidP="00B61EE3">
      <w:pPr>
        <w:spacing w:line="360" w:lineRule="auto"/>
        <w:jc w:val="both"/>
        <w:rPr>
          <w:rFonts w:ascii="Times New Roman" w:hAnsi="Times New Roman" w:cs="Times New Roman"/>
        </w:rPr>
      </w:pPr>
    </w:p>
    <w:p w:rsidR="00B61EE3" w:rsidRPr="000564C4" w:rsidRDefault="00B61EE3" w:rsidP="00B61EE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564C4">
        <w:rPr>
          <w:rFonts w:ascii="Times New Roman" w:hAnsi="Times New Roman" w:cs="Times New Roman"/>
          <w:b/>
        </w:rPr>
        <w:lastRenderedPageBreak/>
        <w:t>Zgodnie z Kodeksem karnym, w wypadku zbiegu dwóch</w:t>
      </w:r>
      <w:r w:rsidR="000564C4" w:rsidRPr="000564C4">
        <w:rPr>
          <w:rFonts w:ascii="Times New Roman" w:hAnsi="Times New Roman" w:cs="Times New Roman"/>
          <w:b/>
        </w:rPr>
        <w:t xml:space="preserve"> lub</w:t>
      </w:r>
      <w:r w:rsidRPr="000564C4">
        <w:rPr>
          <w:rFonts w:ascii="Times New Roman" w:hAnsi="Times New Roman" w:cs="Times New Roman"/>
          <w:b/>
        </w:rPr>
        <w:t xml:space="preserve"> więcej kar 25 lat pozbawienia wolności sąd:</w:t>
      </w:r>
    </w:p>
    <w:p w:rsidR="00B61EE3" w:rsidRDefault="000564C4" w:rsidP="00B61EE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B61EE3">
        <w:rPr>
          <w:rFonts w:ascii="Times New Roman" w:hAnsi="Times New Roman" w:cs="Times New Roman"/>
        </w:rPr>
        <w:t>ie może orzec jako karę łączną kary dożywotniego pozbawienia wolności,</w:t>
      </w:r>
    </w:p>
    <w:p w:rsidR="00B61EE3" w:rsidRDefault="000564C4" w:rsidP="00B61EE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B61EE3">
        <w:rPr>
          <w:rFonts w:ascii="Times New Roman" w:hAnsi="Times New Roman" w:cs="Times New Roman"/>
        </w:rPr>
        <w:t>oże orzec jako karę łączną  karę dożywotniego pozbawienia wolności,</w:t>
      </w:r>
    </w:p>
    <w:p w:rsidR="000564C4" w:rsidRDefault="000564C4" w:rsidP="000564C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B61EE3">
        <w:rPr>
          <w:rFonts w:ascii="Times New Roman" w:hAnsi="Times New Roman" w:cs="Times New Roman"/>
        </w:rPr>
        <w:t>ie może orzec innej kary niż karę 25 lat pozbawienia wolności jako karę łączną.</w:t>
      </w:r>
    </w:p>
    <w:p w:rsidR="000564C4" w:rsidRDefault="000564C4" w:rsidP="000564C4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0564C4">
      <w:pPr>
        <w:spacing w:line="360" w:lineRule="auto"/>
        <w:jc w:val="both"/>
        <w:rPr>
          <w:rFonts w:ascii="Times New Roman" w:hAnsi="Times New Roman" w:cs="Times New Roman"/>
        </w:rPr>
      </w:pPr>
    </w:p>
    <w:p w:rsidR="000564C4" w:rsidRPr="000564C4" w:rsidRDefault="000564C4" w:rsidP="000564C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564C4">
        <w:rPr>
          <w:rFonts w:ascii="Times New Roman" w:hAnsi="Times New Roman" w:cs="Times New Roman"/>
          <w:b/>
        </w:rPr>
        <w:t>Zgodnie z Kodeksem karnym, na wniosek skazanego na karę pozbawienia wolności bez warunkowego zawieszenia jej wykonania, sąd może zarządzić zatarcie skazania już po upływie 5 lat od wykonania lub darowania kary albo od przedawnienia jej wykonania, jeżeli skazany w tym okresie przestrzegał porządku prawnego, a wymierzona kara pozbawienia wolności nie przekraczała:</w:t>
      </w:r>
    </w:p>
    <w:p w:rsidR="000564C4" w:rsidRDefault="000564C4" w:rsidP="000564C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lat,</w:t>
      </w:r>
    </w:p>
    <w:p w:rsidR="000564C4" w:rsidRDefault="000564C4" w:rsidP="000564C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lat,</w:t>
      </w:r>
    </w:p>
    <w:p w:rsidR="000564C4" w:rsidRDefault="000564C4" w:rsidP="000564C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lat.</w:t>
      </w:r>
    </w:p>
    <w:p w:rsidR="00046955" w:rsidRDefault="00046955" w:rsidP="00046955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046955">
      <w:pPr>
        <w:spacing w:line="360" w:lineRule="auto"/>
        <w:jc w:val="both"/>
        <w:rPr>
          <w:rFonts w:ascii="Times New Roman" w:hAnsi="Times New Roman" w:cs="Times New Roman"/>
        </w:rPr>
      </w:pPr>
    </w:p>
    <w:p w:rsidR="00046955" w:rsidRDefault="00046955" w:rsidP="0004695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Zgodnie z Kodeksem postępowania</w:t>
      </w:r>
      <w:r w:rsidRPr="00046955">
        <w:rPr>
          <w:rFonts w:ascii="Times New Roman" w:hAnsi="Times New Roman" w:cs="Times New Roman"/>
          <w:b/>
        </w:rPr>
        <w:t xml:space="preserve"> karne</w:t>
      </w:r>
      <w:r w:rsidR="005D1803">
        <w:rPr>
          <w:rFonts w:ascii="Times New Roman" w:hAnsi="Times New Roman" w:cs="Times New Roman"/>
          <w:b/>
        </w:rPr>
        <w:t>go, na odm</w:t>
      </w:r>
      <w:r>
        <w:rPr>
          <w:rFonts w:ascii="Times New Roman" w:hAnsi="Times New Roman" w:cs="Times New Roman"/>
          <w:b/>
        </w:rPr>
        <w:t>owę przyjęcia przez są</w:t>
      </w:r>
      <w:r w:rsidRPr="00046955">
        <w:rPr>
          <w:rFonts w:ascii="Times New Roman" w:hAnsi="Times New Roman" w:cs="Times New Roman"/>
          <w:b/>
        </w:rPr>
        <w:t>d powództwa cywilnego (adhezyjnego):</w:t>
      </w:r>
    </w:p>
    <w:p w:rsidR="00046955" w:rsidRDefault="00046955" w:rsidP="0004695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przysługuje</w:t>
      </w:r>
      <w:r w:rsidRPr="00046955">
        <w:rPr>
          <w:rFonts w:ascii="Times New Roman" w:hAnsi="Times New Roman" w:cs="Times New Roman"/>
        </w:rPr>
        <w:t xml:space="preserve"> zażalenie</w:t>
      </w:r>
      <w:r>
        <w:rPr>
          <w:rFonts w:ascii="Times New Roman" w:hAnsi="Times New Roman" w:cs="Times New Roman"/>
        </w:rPr>
        <w:t xml:space="preserve"> każdej ze stron,</w:t>
      </w:r>
    </w:p>
    <w:p w:rsidR="00046955" w:rsidRDefault="00046955" w:rsidP="0004695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przysługuje zażalenie pokrzywdzonemu,</w:t>
      </w:r>
    </w:p>
    <w:p w:rsidR="00046955" w:rsidRDefault="00046955" w:rsidP="0004695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przysługuje zażalenie.</w:t>
      </w:r>
    </w:p>
    <w:p w:rsidR="00041DC6" w:rsidRDefault="00041DC6" w:rsidP="00041DC6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041DC6">
      <w:pPr>
        <w:spacing w:line="360" w:lineRule="auto"/>
        <w:jc w:val="both"/>
        <w:rPr>
          <w:rFonts w:ascii="Times New Roman" w:hAnsi="Times New Roman" w:cs="Times New Roman"/>
        </w:rPr>
      </w:pPr>
    </w:p>
    <w:p w:rsidR="00041DC6" w:rsidRPr="00130B7B" w:rsidRDefault="00041DC6" w:rsidP="00041DC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130B7B">
        <w:rPr>
          <w:rFonts w:ascii="Times New Roman" w:hAnsi="Times New Roman" w:cs="Times New Roman"/>
          <w:b/>
        </w:rPr>
        <w:t xml:space="preserve">Zgodnie z Kodeksem postępowania karnego, jeżeli oskarżony jest niewidomy, to </w:t>
      </w:r>
      <w:r w:rsidR="00FB28A0">
        <w:rPr>
          <w:rFonts w:ascii="Times New Roman" w:hAnsi="Times New Roman" w:cs="Times New Roman"/>
          <w:b/>
        </w:rPr>
        <w:t xml:space="preserve">                    </w:t>
      </w:r>
      <w:r w:rsidRPr="00130B7B">
        <w:rPr>
          <w:rFonts w:ascii="Times New Roman" w:hAnsi="Times New Roman" w:cs="Times New Roman"/>
          <w:b/>
        </w:rPr>
        <w:t>w postępowaniu karnym:</w:t>
      </w:r>
    </w:p>
    <w:p w:rsidR="00041DC6" w:rsidRDefault="00130B7B" w:rsidP="00041DC6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041DC6">
        <w:rPr>
          <w:rFonts w:ascii="Times New Roman" w:hAnsi="Times New Roman" w:cs="Times New Roman"/>
        </w:rPr>
        <w:t>usi mieć obrońcę, ale tylko wtedy, gdy zarzucono mu popełnienie zbrodni,</w:t>
      </w:r>
    </w:p>
    <w:p w:rsidR="00041DC6" w:rsidRDefault="00130B7B" w:rsidP="00041DC6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041DC6">
        <w:rPr>
          <w:rFonts w:ascii="Times New Roman" w:hAnsi="Times New Roman" w:cs="Times New Roman"/>
        </w:rPr>
        <w:t>usi mieć obrońcę i to niezależnie od tego, czy zarzucono mu popełnienie zbrodni, czy też popełnienie występku,</w:t>
      </w:r>
    </w:p>
    <w:p w:rsidR="000F3D25" w:rsidRDefault="00130B7B" w:rsidP="00BC7FD5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041DC6">
        <w:rPr>
          <w:rFonts w:ascii="Times New Roman" w:hAnsi="Times New Roman" w:cs="Times New Roman"/>
        </w:rPr>
        <w:t>ie musi mieć obrońcy.</w:t>
      </w:r>
    </w:p>
    <w:p w:rsidR="00FB28A0" w:rsidRPr="00FB28A0" w:rsidRDefault="00FB28A0" w:rsidP="00FB28A0">
      <w:pPr>
        <w:spacing w:line="360" w:lineRule="auto"/>
        <w:jc w:val="both"/>
        <w:rPr>
          <w:rFonts w:ascii="Times New Roman" w:hAnsi="Times New Roman" w:cs="Times New Roman"/>
        </w:rPr>
      </w:pPr>
    </w:p>
    <w:p w:rsidR="000F3D25" w:rsidRPr="000F3D25" w:rsidRDefault="000F3D25" w:rsidP="00BC7FD5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BC7FD5" w:rsidRPr="000F3D25" w:rsidRDefault="00BC7FD5" w:rsidP="00BC7F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F3D25">
        <w:rPr>
          <w:rFonts w:ascii="Times New Roman" w:hAnsi="Times New Roman" w:cs="Times New Roman"/>
          <w:b/>
        </w:rPr>
        <w:lastRenderedPageBreak/>
        <w:t xml:space="preserve">Zgodnie z Kodeksem postępowania karnego, jeżeli okoliczności popełnienia przestępstwa nie budzą wątpliwości, a postawa oskarżonego wskazuje, że cele postępowania zostaną osiągnięte, prokurator może dołączyć do aktu oskarżenia wniosek o wydanie wyroku </w:t>
      </w:r>
      <w:r w:rsidR="00FB28A0">
        <w:rPr>
          <w:rFonts w:ascii="Times New Roman" w:hAnsi="Times New Roman" w:cs="Times New Roman"/>
          <w:b/>
        </w:rPr>
        <w:t xml:space="preserve">            </w:t>
      </w:r>
      <w:r w:rsidRPr="000F3D25">
        <w:rPr>
          <w:rFonts w:ascii="Times New Roman" w:hAnsi="Times New Roman" w:cs="Times New Roman"/>
          <w:b/>
        </w:rPr>
        <w:t xml:space="preserve">i orzeczenie uzgodnionych z oskarżonym kar lub innych środków przewidzianych </w:t>
      </w:r>
      <w:r w:rsidR="00FB28A0">
        <w:rPr>
          <w:rFonts w:ascii="Times New Roman" w:hAnsi="Times New Roman" w:cs="Times New Roman"/>
          <w:b/>
        </w:rPr>
        <w:t xml:space="preserve">                 </w:t>
      </w:r>
      <w:r w:rsidRPr="000F3D25">
        <w:rPr>
          <w:rFonts w:ascii="Times New Roman" w:hAnsi="Times New Roman" w:cs="Times New Roman"/>
          <w:b/>
        </w:rPr>
        <w:t>w Kodeksie karnym za przypisane mu przestępstwo, bez przeprowadzenia rozprawy:</w:t>
      </w:r>
    </w:p>
    <w:p w:rsidR="000F3D25" w:rsidRDefault="000F3D25" w:rsidP="000F3D2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każde przestępstwo, za wyjątkiem zbrodni zagrożonej karą dożywotniego pozbawienia wolności,</w:t>
      </w:r>
    </w:p>
    <w:p w:rsidR="000F3D25" w:rsidRDefault="000F3D25" w:rsidP="000F3D2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każdy występek,</w:t>
      </w:r>
    </w:p>
    <w:p w:rsidR="000F3D25" w:rsidRDefault="000F3D25" w:rsidP="000F3D2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tylko za występek zagrożony karą nieprzekraczającą 10 lat pozbawienia wolności.</w:t>
      </w:r>
    </w:p>
    <w:p w:rsidR="00440493" w:rsidRDefault="00440493" w:rsidP="0044049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440493" w:rsidRDefault="00FB28A0" w:rsidP="0044049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40493" w:rsidRPr="00440493" w:rsidRDefault="00440493" w:rsidP="004404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440493">
        <w:rPr>
          <w:rFonts w:ascii="Times New Roman" w:hAnsi="Times New Roman" w:cs="Times New Roman"/>
          <w:b/>
        </w:rPr>
        <w:t>Zgodnie z Kodeksem postępowania karnego, w postępowaniu zwyczajnym, pomiędzy doręczeniem zawiadomienia a terminem rozprawy głównej powinno upłynąć co najmniej 7 dni; w razie niezachowania tego terminu w stosunku do oskarżonego lub jego obrońcy rozprawa ulega odroczeniu na ich wniosek zgłoszony:</w:t>
      </w:r>
    </w:p>
    <w:p w:rsidR="00440493" w:rsidRDefault="00440493" w:rsidP="0044049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rozpoczęciem przewodu sądowego,</w:t>
      </w:r>
    </w:p>
    <w:p w:rsidR="00440493" w:rsidRDefault="00440493" w:rsidP="0044049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rozpoczęciu przewodu sądowego,</w:t>
      </w:r>
    </w:p>
    <w:p w:rsidR="00440493" w:rsidRDefault="00440493" w:rsidP="0044049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złożeniu na tej rozprawie wyjaśnień przez oskarżonego.</w:t>
      </w:r>
    </w:p>
    <w:p w:rsidR="00BC7195" w:rsidRDefault="00BC7195" w:rsidP="00BC7195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BC7195">
      <w:pPr>
        <w:spacing w:line="360" w:lineRule="auto"/>
        <w:jc w:val="both"/>
        <w:rPr>
          <w:rFonts w:ascii="Times New Roman" w:hAnsi="Times New Roman" w:cs="Times New Roman"/>
        </w:rPr>
      </w:pPr>
    </w:p>
    <w:p w:rsidR="00BC7195" w:rsidRPr="00D97526" w:rsidRDefault="00BC7195" w:rsidP="00BC719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97526">
        <w:rPr>
          <w:rFonts w:ascii="Times New Roman" w:hAnsi="Times New Roman" w:cs="Times New Roman"/>
          <w:b/>
        </w:rPr>
        <w:t>Zgodnie z Kodeksem postępowania karnego, od wydanego w toku postępowania odwoławczego postanowienia sądu o nałożeniu kary porządkowej:</w:t>
      </w:r>
    </w:p>
    <w:p w:rsidR="00BC7195" w:rsidRDefault="00575363" w:rsidP="00D9752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97526">
        <w:rPr>
          <w:rFonts w:ascii="Times New Roman" w:hAnsi="Times New Roman" w:cs="Times New Roman"/>
        </w:rPr>
        <w:t>ie przysługuje zażalenie,</w:t>
      </w:r>
    </w:p>
    <w:p w:rsidR="00D97526" w:rsidRDefault="00575363" w:rsidP="00D9752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97526">
        <w:rPr>
          <w:rFonts w:ascii="Times New Roman" w:hAnsi="Times New Roman" w:cs="Times New Roman"/>
        </w:rPr>
        <w:t xml:space="preserve">rzysługuje zażalenie do sądu wyższego rzędu, </w:t>
      </w:r>
    </w:p>
    <w:p w:rsidR="00D97526" w:rsidRDefault="00575363" w:rsidP="00D9752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97526">
        <w:rPr>
          <w:rFonts w:ascii="Times New Roman" w:hAnsi="Times New Roman" w:cs="Times New Roman"/>
        </w:rPr>
        <w:t>rzysługuje zażalenie do innego równorzędnego składu sądu odwoławczego.</w:t>
      </w:r>
    </w:p>
    <w:p w:rsidR="00D97526" w:rsidRDefault="00D97526" w:rsidP="00D9752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575363" w:rsidRDefault="00FB28A0" w:rsidP="00D9752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D97526" w:rsidRPr="00575363" w:rsidRDefault="00575363" w:rsidP="00D9752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575363">
        <w:rPr>
          <w:rFonts w:ascii="Times New Roman" w:hAnsi="Times New Roman" w:cs="Times New Roman"/>
          <w:b/>
        </w:rPr>
        <w:t>Zgodnie z Kodeksem postępowania karnego, jeżeli przyjęcie środka odwoławczego nastąpiło na skutek niezasadnego przywrócenia terminu, sąd odwoławczy:</w:t>
      </w:r>
    </w:p>
    <w:p w:rsidR="00575363" w:rsidRDefault="00575363" w:rsidP="0057536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pozostawia bez rozpoznania przyjęty środek odwoławczy,</w:t>
      </w:r>
    </w:p>
    <w:p w:rsidR="00575363" w:rsidRDefault="00575363" w:rsidP="0057536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odrzuca przyjęty środek odwoławczy,</w:t>
      </w:r>
    </w:p>
    <w:p w:rsidR="00575363" w:rsidRDefault="00575363" w:rsidP="0057536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oddala przyjęty środek odwoławczy. </w:t>
      </w:r>
    </w:p>
    <w:p w:rsidR="000C1985" w:rsidRPr="000C1985" w:rsidRDefault="000C1985" w:rsidP="000C1985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C1985" w:rsidRPr="000C1985" w:rsidRDefault="000C1985" w:rsidP="000C198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C1985">
        <w:rPr>
          <w:rFonts w:ascii="Times New Roman" w:hAnsi="Times New Roman" w:cs="Times New Roman"/>
          <w:b/>
        </w:rPr>
        <w:lastRenderedPageBreak/>
        <w:t>Zgodnie z Kodeksem postępowania karnego, w postępowaniu w sprawach z oskarżenia prywatnego, niestawiennictwo oskarżyciela prywatnego i jego pełnomocnika na posiedzenie pojednawcze bez usprawiedliwionej przyczyny uważa się za:</w:t>
      </w:r>
    </w:p>
    <w:p w:rsidR="000C1985" w:rsidRDefault="004E2ED9" w:rsidP="000C1985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0C1985">
        <w:rPr>
          <w:rFonts w:ascii="Times New Roman" w:hAnsi="Times New Roman" w:cs="Times New Roman"/>
        </w:rPr>
        <w:t>rak woli pojednania z oskarżonym; w takim wypadku prowadzący posiedzenie kieruje sprawę na rozprawę główną,</w:t>
      </w:r>
    </w:p>
    <w:p w:rsidR="000C1985" w:rsidRDefault="004E2ED9" w:rsidP="000C1985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0C1985">
        <w:rPr>
          <w:rFonts w:ascii="Times New Roman" w:hAnsi="Times New Roman" w:cs="Times New Roman"/>
        </w:rPr>
        <w:t>godę na pojednanie z oskarżonym; w takim wypadku prowadzący posiedzenie umarza warunkowo postępowanie,</w:t>
      </w:r>
    </w:p>
    <w:p w:rsidR="000C1985" w:rsidRDefault="004E2ED9" w:rsidP="000C1985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0C1985">
        <w:rPr>
          <w:rFonts w:ascii="Times New Roman" w:hAnsi="Times New Roman" w:cs="Times New Roman"/>
        </w:rPr>
        <w:t>dstąpienie od oskarżenia; w takim wypadku prowadzący posiedzenie postępowanie umarza.</w:t>
      </w:r>
    </w:p>
    <w:p w:rsidR="000C1985" w:rsidRPr="004E2ED9" w:rsidRDefault="000C1985" w:rsidP="000C1985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C1985" w:rsidRPr="004E2ED9" w:rsidRDefault="004E2ED9" w:rsidP="004E2ED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4E2ED9">
        <w:rPr>
          <w:rFonts w:ascii="Times New Roman" w:hAnsi="Times New Roman" w:cs="Times New Roman"/>
          <w:b/>
        </w:rPr>
        <w:t>Zgodnie z Kodeksem postępowania karnego, wyrok nakazowy:</w:t>
      </w:r>
    </w:p>
    <w:p w:rsidR="004E2ED9" w:rsidRDefault="004E2ED9" w:rsidP="004E2ED9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może nie zawierać uzasadnienia,</w:t>
      </w:r>
    </w:p>
    <w:p w:rsidR="004E2ED9" w:rsidRDefault="004E2ED9" w:rsidP="004E2ED9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 może zawierać uzasadnienia, </w:t>
      </w:r>
    </w:p>
    <w:p w:rsidR="004E2ED9" w:rsidRDefault="004E2ED9" w:rsidP="004E2ED9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musi zawierać uzasadnienie.</w:t>
      </w:r>
    </w:p>
    <w:p w:rsidR="008106F6" w:rsidRDefault="008106F6" w:rsidP="008106F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8106F6" w:rsidRDefault="00FB28A0" w:rsidP="008106F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106F6" w:rsidRDefault="008106F6" w:rsidP="008106F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8106F6">
        <w:rPr>
          <w:rFonts w:ascii="Times New Roman" w:hAnsi="Times New Roman" w:cs="Times New Roman"/>
          <w:b/>
        </w:rPr>
        <w:t>Zgodnie z Kodeksem postępowania karnego, w kwestii wz</w:t>
      </w:r>
      <w:r>
        <w:rPr>
          <w:rFonts w:ascii="Times New Roman" w:hAnsi="Times New Roman" w:cs="Times New Roman"/>
          <w:b/>
        </w:rPr>
        <w:t>nowienia postępowania, jeżeli prezes</w:t>
      </w:r>
      <w:r w:rsidRPr="008106F6">
        <w:rPr>
          <w:rFonts w:ascii="Times New Roman" w:hAnsi="Times New Roman" w:cs="Times New Roman"/>
          <w:b/>
        </w:rPr>
        <w:t xml:space="preserve"> sądu lub sąd nie postanowi inaczej, sąd orzeka:</w:t>
      </w:r>
    </w:p>
    <w:p w:rsidR="008106F6" w:rsidRDefault="00BB7C11" w:rsidP="008106F6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106F6">
        <w:rPr>
          <w:rFonts w:ascii="Times New Roman" w:hAnsi="Times New Roman" w:cs="Times New Roman"/>
        </w:rPr>
        <w:t>a rozprawie,</w:t>
      </w:r>
    </w:p>
    <w:p w:rsidR="008106F6" w:rsidRDefault="00BB7C11" w:rsidP="008106F6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106F6">
        <w:rPr>
          <w:rFonts w:ascii="Times New Roman" w:hAnsi="Times New Roman" w:cs="Times New Roman"/>
        </w:rPr>
        <w:t>a posiedzeniu przy udziale stron,</w:t>
      </w:r>
    </w:p>
    <w:p w:rsidR="008106F6" w:rsidRDefault="00BB7C11" w:rsidP="008106F6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8106F6">
        <w:rPr>
          <w:rFonts w:ascii="Times New Roman" w:hAnsi="Times New Roman" w:cs="Times New Roman"/>
        </w:rPr>
        <w:t>a posiedzeniu bez udziału stron</w:t>
      </w:r>
      <w:r>
        <w:rPr>
          <w:rFonts w:ascii="Times New Roman" w:hAnsi="Times New Roman" w:cs="Times New Roman"/>
        </w:rPr>
        <w:t>.</w:t>
      </w:r>
    </w:p>
    <w:p w:rsidR="00BB7C11" w:rsidRDefault="00BB7C11" w:rsidP="00BB7C11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BB7C11">
      <w:pPr>
        <w:spacing w:line="360" w:lineRule="auto"/>
        <w:jc w:val="both"/>
        <w:rPr>
          <w:rFonts w:ascii="Times New Roman" w:hAnsi="Times New Roman" w:cs="Times New Roman"/>
        </w:rPr>
      </w:pPr>
    </w:p>
    <w:p w:rsidR="00BB7C11" w:rsidRPr="00BB7C11" w:rsidRDefault="00BB7C11" w:rsidP="00BB7C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BB7C11">
        <w:rPr>
          <w:rFonts w:ascii="Times New Roman" w:hAnsi="Times New Roman" w:cs="Times New Roman"/>
          <w:b/>
        </w:rPr>
        <w:t>Zgodnie z Kodeksem cywilnym, umowa należąca do umów powszechnie zawieranych</w:t>
      </w:r>
      <w:r w:rsidR="00FB28A0">
        <w:rPr>
          <w:rFonts w:ascii="Times New Roman" w:hAnsi="Times New Roman" w:cs="Times New Roman"/>
          <w:b/>
        </w:rPr>
        <w:t xml:space="preserve">         </w:t>
      </w:r>
      <w:r w:rsidRPr="00BB7C11">
        <w:rPr>
          <w:rFonts w:ascii="Times New Roman" w:hAnsi="Times New Roman" w:cs="Times New Roman"/>
          <w:b/>
        </w:rPr>
        <w:t xml:space="preserve"> w drobnych bieżących sprawach życia codziennego, zawarta przez osobę, która nie ma zdolności do czynności prawnych:</w:t>
      </w:r>
    </w:p>
    <w:p w:rsidR="00BB7C11" w:rsidRDefault="009B2CC5" w:rsidP="00BB7C1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BB7C11">
        <w:rPr>
          <w:rFonts w:ascii="Times New Roman" w:hAnsi="Times New Roman" w:cs="Times New Roman"/>
        </w:rPr>
        <w:t>est zawsze nieważna,</w:t>
      </w:r>
    </w:p>
    <w:p w:rsidR="00BB7C11" w:rsidRDefault="009B2CC5" w:rsidP="00BB7C1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BB7C11">
        <w:rPr>
          <w:rFonts w:ascii="Times New Roman" w:hAnsi="Times New Roman" w:cs="Times New Roman"/>
        </w:rPr>
        <w:t>taje się ważna z chwilą jej wykonania, chyba, że pociąga za sobą rażące pokrzywdzenie osoby niezdolnej do czynności prawnych.</w:t>
      </w:r>
    </w:p>
    <w:p w:rsidR="00BB7C11" w:rsidRDefault="009B2CC5" w:rsidP="00BB7C1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BB7C11">
        <w:rPr>
          <w:rFonts w:ascii="Times New Roman" w:hAnsi="Times New Roman" w:cs="Times New Roman"/>
        </w:rPr>
        <w:t>taje się ważna z chwilą jej wykonania, nawet jeżeli pociąga za sobą rażące pokrzywdzenie osoby niezdolnej do czynności prawnych.</w:t>
      </w:r>
    </w:p>
    <w:p w:rsidR="007165E3" w:rsidRDefault="007165E3" w:rsidP="007165E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7165E3" w:rsidRDefault="00FB28A0" w:rsidP="007165E3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7165E3" w:rsidRPr="007165E3" w:rsidRDefault="007165E3" w:rsidP="007165E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65E3">
        <w:rPr>
          <w:rFonts w:ascii="Times New Roman" w:hAnsi="Times New Roman" w:cs="Times New Roman"/>
          <w:b/>
        </w:rPr>
        <w:lastRenderedPageBreak/>
        <w:t>Zgodnie z Kodeksem cywilnym, ten</w:t>
      </w:r>
      <w:r>
        <w:rPr>
          <w:rFonts w:ascii="Times New Roman" w:hAnsi="Times New Roman" w:cs="Times New Roman"/>
          <w:b/>
        </w:rPr>
        <w:t>,</w:t>
      </w:r>
      <w:r w:rsidRPr="007165E3">
        <w:rPr>
          <w:rFonts w:ascii="Times New Roman" w:hAnsi="Times New Roman" w:cs="Times New Roman"/>
          <w:b/>
        </w:rPr>
        <w:t xml:space="preserve"> czyje dobro osobiste zostaje zagrożone cudzym działaniem, może żądać:</w:t>
      </w:r>
    </w:p>
    <w:p w:rsidR="007165E3" w:rsidRDefault="007165E3" w:rsidP="007165E3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zaniechania tego działania, pod warunkiem, że jest ono bezprawne i zawinione,</w:t>
      </w:r>
    </w:p>
    <w:p w:rsidR="007165E3" w:rsidRDefault="007165E3" w:rsidP="007165E3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zaniechania tego działania, pod warunkiem, że doznał szkody majątkowej,</w:t>
      </w:r>
    </w:p>
    <w:p w:rsidR="007165E3" w:rsidRDefault="007165E3" w:rsidP="007165E3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zaniechania tego działania, chyba, że nie jest ono bezprawne.</w:t>
      </w:r>
    </w:p>
    <w:p w:rsidR="007165E3" w:rsidRDefault="007165E3" w:rsidP="007165E3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7165E3">
      <w:pPr>
        <w:spacing w:line="360" w:lineRule="auto"/>
        <w:jc w:val="both"/>
        <w:rPr>
          <w:rFonts w:ascii="Times New Roman" w:hAnsi="Times New Roman" w:cs="Times New Roman"/>
        </w:rPr>
      </w:pPr>
    </w:p>
    <w:p w:rsidR="007165E3" w:rsidRPr="007165E3" w:rsidRDefault="007165E3" w:rsidP="007165E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65E3">
        <w:rPr>
          <w:rFonts w:ascii="Times New Roman" w:hAnsi="Times New Roman" w:cs="Times New Roman"/>
          <w:b/>
        </w:rPr>
        <w:t>Zgodnie z Kodeksem cywilnym, firma oddziału osoby prawnej zawiera:</w:t>
      </w:r>
    </w:p>
    <w:p w:rsidR="007165E3" w:rsidRDefault="002E59BC" w:rsidP="007165E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7165E3">
        <w:rPr>
          <w:rFonts w:ascii="Times New Roman" w:hAnsi="Times New Roman" w:cs="Times New Roman"/>
        </w:rPr>
        <w:t>króconą nazwę tej osoby prawnej oraz określenie „oddział” ze wskazaniem miejscowości, w której oddział ma siedzibę,</w:t>
      </w:r>
    </w:p>
    <w:p w:rsidR="007165E3" w:rsidRDefault="002E59BC" w:rsidP="007165E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165E3">
        <w:rPr>
          <w:rFonts w:ascii="Times New Roman" w:hAnsi="Times New Roman" w:cs="Times New Roman"/>
        </w:rPr>
        <w:t xml:space="preserve">ełną nazwę tej osoby prawnej oraz określenie „oddział” ze wskazaniem miejscowości, </w:t>
      </w:r>
      <w:r w:rsidR="00FB28A0">
        <w:rPr>
          <w:rFonts w:ascii="Times New Roman" w:hAnsi="Times New Roman" w:cs="Times New Roman"/>
        </w:rPr>
        <w:t xml:space="preserve">      </w:t>
      </w:r>
      <w:r w:rsidR="007165E3">
        <w:rPr>
          <w:rFonts w:ascii="Times New Roman" w:hAnsi="Times New Roman" w:cs="Times New Roman"/>
        </w:rPr>
        <w:t>w której oddział ma siedzibę,</w:t>
      </w:r>
    </w:p>
    <w:p w:rsidR="007165E3" w:rsidRDefault="002E59BC" w:rsidP="007165E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7165E3">
        <w:rPr>
          <w:rFonts w:ascii="Times New Roman" w:hAnsi="Times New Roman" w:cs="Times New Roman"/>
        </w:rPr>
        <w:t>króconą nazwę tej osoby prawnej oraz określenie „oddział” ze wskazaniem miejscowości, w której osoba ta ma swą siedzibę.</w:t>
      </w:r>
    </w:p>
    <w:p w:rsidR="00873853" w:rsidRDefault="00873853" w:rsidP="00873853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873853">
      <w:pPr>
        <w:spacing w:line="360" w:lineRule="auto"/>
        <w:jc w:val="both"/>
        <w:rPr>
          <w:rFonts w:ascii="Times New Roman" w:hAnsi="Times New Roman" w:cs="Times New Roman"/>
        </w:rPr>
      </w:pPr>
    </w:p>
    <w:p w:rsidR="00873853" w:rsidRPr="00873853" w:rsidRDefault="00873853" w:rsidP="0087385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873853">
        <w:rPr>
          <w:rFonts w:ascii="Times New Roman" w:hAnsi="Times New Roman" w:cs="Times New Roman"/>
          <w:b/>
        </w:rPr>
        <w:t>Zgodnie z Kodeksem cywilnym, do nabycia przez zasiedzenie własności rzeczy ruchomej:</w:t>
      </w:r>
    </w:p>
    <w:p w:rsidR="00873853" w:rsidRDefault="00873853" w:rsidP="0087385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wystarczające jest wejście w jej samoistne posiadanie w dobrej wierze i posiadanie samoistne przez okres trzech lat bez względu na dobrą lub złą wiarę posiadacza,</w:t>
      </w:r>
    </w:p>
    <w:p w:rsidR="00873853" w:rsidRDefault="00873853" w:rsidP="0087385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konieczne jest  nieprzerwane, samoistne jej posiadanie w dobrej wierze prze okres trzech lat,</w:t>
      </w:r>
    </w:p>
    <w:p w:rsidR="00873853" w:rsidRDefault="00873853" w:rsidP="0087385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wystarczające jest jej posiadanie zależne przez okres trzech lat.</w:t>
      </w:r>
    </w:p>
    <w:p w:rsidR="000B489D" w:rsidRDefault="000B489D" w:rsidP="000B489D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0B489D" w:rsidRDefault="00FB28A0" w:rsidP="000B489D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B489D" w:rsidRPr="000B489D" w:rsidRDefault="000B489D" w:rsidP="000B489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B489D">
        <w:rPr>
          <w:rFonts w:ascii="Times New Roman" w:hAnsi="Times New Roman" w:cs="Times New Roman"/>
          <w:b/>
        </w:rPr>
        <w:t>Zgodnie z Kodeksem cywilnym, do czynności przekraczającej zakres zwykłego zarządu, potrzebna jest zgoda wszystkich współwłaścicieli; w braku takiej zgody:</w:t>
      </w:r>
    </w:p>
    <w:p w:rsidR="000B489D" w:rsidRDefault="00312325" w:rsidP="000B489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0B489D">
        <w:rPr>
          <w:rFonts w:ascii="Times New Roman" w:hAnsi="Times New Roman" w:cs="Times New Roman"/>
        </w:rPr>
        <w:t>ażdy ze współwłaścicieli, bez względu na wysokość przysługującego mu udziału, może żądać rozstrzygnięcia przez sąd,</w:t>
      </w:r>
    </w:p>
    <w:p w:rsidR="000B489D" w:rsidRDefault="00312325" w:rsidP="000B489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B489D">
        <w:rPr>
          <w:rFonts w:ascii="Times New Roman" w:hAnsi="Times New Roman" w:cs="Times New Roman"/>
        </w:rPr>
        <w:t>spółwłaściciele, których udziały wynoszą co najmniej połowę, mogą żądać rozstrzygnięcia przez sąd,</w:t>
      </w:r>
    </w:p>
    <w:p w:rsidR="00FB28A0" w:rsidRDefault="00312325" w:rsidP="0031232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B489D">
        <w:rPr>
          <w:rFonts w:ascii="Times New Roman" w:hAnsi="Times New Roman" w:cs="Times New Roman"/>
        </w:rPr>
        <w:t>spółwłaściciele, których udziały wynoszą co najmniej jedną trzecią, mogą żądać rozstrzygnięcia przez sąd</w:t>
      </w:r>
      <w:r>
        <w:rPr>
          <w:rFonts w:ascii="Times New Roman" w:hAnsi="Times New Roman" w:cs="Times New Roman"/>
        </w:rPr>
        <w:t>.</w:t>
      </w:r>
    </w:p>
    <w:p w:rsidR="00FB28A0" w:rsidRPr="00FB28A0" w:rsidRDefault="00FB28A0" w:rsidP="00FB28A0">
      <w:pPr>
        <w:spacing w:line="360" w:lineRule="auto"/>
        <w:jc w:val="both"/>
        <w:rPr>
          <w:rFonts w:ascii="Times New Roman" w:hAnsi="Times New Roman" w:cs="Times New Roman"/>
        </w:rPr>
      </w:pPr>
    </w:p>
    <w:p w:rsidR="00312325" w:rsidRPr="00312325" w:rsidRDefault="00312325" w:rsidP="0031232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312325">
        <w:rPr>
          <w:rFonts w:ascii="Times New Roman" w:hAnsi="Times New Roman" w:cs="Times New Roman"/>
          <w:b/>
        </w:rPr>
        <w:lastRenderedPageBreak/>
        <w:t>Zgodnie z Kodeksem cywilnym, wierzytelność przedawniona:</w:t>
      </w:r>
    </w:p>
    <w:p w:rsidR="00312325" w:rsidRDefault="00312325" w:rsidP="00312325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może być potrącona, bez względu na okoliczności,</w:t>
      </w:r>
    </w:p>
    <w:p w:rsidR="00312325" w:rsidRDefault="00312325" w:rsidP="00312325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może być potrącona w każdym przypadku,</w:t>
      </w:r>
    </w:p>
    <w:p w:rsidR="00312325" w:rsidRDefault="00312325" w:rsidP="00312325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może być potrącona, jeżeli w chwili, gdy potrącenie stało się możliwe, przedawnienie jeszcze nie nastąpiło.</w:t>
      </w:r>
    </w:p>
    <w:p w:rsidR="00696E97" w:rsidRDefault="00696E97" w:rsidP="00696E97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696E97">
      <w:pPr>
        <w:spacing w:line="360" w:lineRule="auto"/>
        <w:jc w:val="both"/>
        <w:rPr>
          <w:rFonts w:ascii="Times New Roman" w:hAnsi="Times New Roman" w:cs="Times New Roman"/>
        </w:rPr>
      </w:pPr>
    </w:p>
    <w:p w:rsidR="00696E97" w:rsidRPr="00696E97" w:rsidRDefault="00696E97" w:rsidP="00696E9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696E97">
        <w:rPr>
          <w:rFonts w:ascii="Times New Roman" w:hAnsi="Times New Roman" w:cs="Times New Roman"/>
          <w:b/>
        </w:rPr>
        <w:t>Zgodnie z Kodeksem cywilnym, uznania czynności prawnej dokonanej z pokrzywdzeniem wierzycieli za bezskuteczną nie można żądać po upływie lat pięciu:</w:t>
      </w:r>
    </w:p>
    <w:p w:rsidR="00696E97" w:rsidRDefault="00696E97" w:rsidP="00696E9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daty tej czynności,</w:t>
      </w:r>
    </w:p>
    <w:p w:rsidR="00696E97" w:rsidRDefault="00696E97" w:rsidP="00696E9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daty w której uprawniony wierzyciel dowiedział się o dokonaniu tej czynności,</w:t>
      </w:r>
    </w:p>
    <w:p w:rsidR="00696E97" w:rsidRDefault="00696E97" w:rsidP="00696E9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daty powstania wierzytelności, której ochrony domaga się wierzyciel.</w:t>
      </w:r>
    </w:p>
    <w:p w:rsidR="00AE5F60" w:rsidRDefault="00AE5F60" w:rsidP="00AE5F6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AE5F60" w:rsidRDefault="00FB28A0" w:rsidP="00AE5F6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E5F60" w:rsidRPr="00AE5F60" w:rsidRDefault="00AE5F60" w:rsidP="00AE5F6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AE5F60">
        <w:rPr>
          <w:rFonts w:ascii="Times New Roman" w:hAnsi="Times New Roman" w:cs="Times New Roman"/>
          <w:b/>
        </w:rPr>
        <w:t>Zgodnie z Kodeksem cywilnym, roszczenia przedsiębiorcy z tytułu sprzedaży dokonanej w zakresie działalności przedsiębiorstwa sprzedawcy przedawniają się:</w:t>
      </w:r>
    </w:p>
    <w:p w:rsidR="00AE5F60" w:rsidRDefault="00AE5F60" w:rsidP="00AE5F60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upływem lat dwóch,</w:t>
      </w:r>
    </w:p>
    <w:p w:rsidR="00AE5F60" w:rsidRDefault="00AE5F60" w:rsidP="00AE5F60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upływem lat trzech,</w:t>
      </w:r>
    </w:p>
    <w:p w:rsidR="00AE5F60" w:rsidRDefault="00AE5F60" w:rsidP="00AE5F60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upływem lat dziesięciu.</w:t>
      </w:r>
    </w:p>
    <w:p w:rsidR="00170FC8" w:rsidRDefault="00170FC8" w:rsidP="00170F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241E13" w:rsidRDefault="00FB28A0" w:rsidP="00170FC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70FC8" w:rsidRPr="00241E13" w:rsidRDefault="00170FC8" w:rsidP="00170FC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241E13">
        <w:rPr>
          <w:rFonts w:ascii="Times New Roman" w:hAnsi="Times New Roman" w:cs="Times New Roman"/>
          <w:b/>
        </w:rPr>
        <w:t xml:space="preserve">Zgodnie z Kodeksem cywilnym, przez umowę dzierżawy wydzierżawiający zobowiązuje się oddać dzierżawcy rzecz do używania i pobierania pożytków przez czas oznaczony </w:t>
      </w:r>
      <w:r w:rsidR="00FB28A0">
        <w:rPr>
          <w:rFonts w:ascii="Times New Roman" w:hAnsi="Times New Roman" w:cs="Times New Roman"/>
          <w:b/>
        </w:rPr>
        <w:t xml:space="preserve">      </w:t>
      </w:r>
      <w:r w:rsidRPr="00241E13">
        <w:rPr>
          <w:rFonts w:ascii="Times New Roman" w:hAnsi="Times New Roman" w:cs="Times New Roman"/>
          <w:b/>
        </w:rPr>
        <w:t>lub nieoznaczony, a dzierżawca zobowiązuje się płacić wydzierżawiającemu:</w:t>
      </w:r>
    </w:p>
    <w:p w:rsidR="00170FC8" w:rsidRDefault="00241E13" w:rsidP="00170FC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70FC8">
        <w:rPr>
          <w:rFonts w:ascii="Times New Roman" w:hAnsi="Times New Roman" w:cs="Times New Roman"/>
        </w:rPr>
        <w:t>mówiony czynsz, który może być zastrzeżony wyłącznie w pieniądzach,</w:t>
      </w:r>
    </w:p>
    <w:p w:rsidR="00170FC8" w:rsidRDefault="00241E13" w:rsidP="00170FC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70FC8">
        <w:rPr>
          <w:rFonts w:ascii="Times New Roman" w:hAnsi="Times New Roman" w:cs="Times New Roman"/>
        </w:rPr>
        <w:t xml:space="preserve">mówiony czynsz, chyba że strony </w:t>
      </w:r>
      <w:r>
        <w:rPr>
          <w:rFonts w:ascii="Times New Roman" w:hAnsi="Times New Roman" w:cs="Times New Roman"/>
        </w:rPr>
        <w:t>postanowiły inaczej,</w:t>
      </w:r>
    </w:p>
    <w:p w:rsidR="00241E13" w:rsidRDefault="00241E13" w:rsidP="00170FC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umówiony czynsz, który może być zastrzeżony w pieniądzach lub świadczeniach innego rodzaju; czynsz może być również oznaczony w ułamkowej części pożytków. </w:t>
      </w:r>
    </w:p>
    <w:p w:rsidR="00241E13" w:rsidRDefault="00241E13" w:rsidP="00241E13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241E13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241E13">
      <w:pPr>
        <w:spacing w:line="360" w:lineRule="auto"/>
        <w:jc w:val="both"/>
        <w:rPr>
          <w:rFonts w:ascii="Times New Roman" w:hAnsi="Times New Roman" w:cs="Times New Roman"/>
        </w:rPr>
      </w:pPr>
    </w:p>
    <w:p w:rsidR="00241E13" w:rsidRPr="004F2226" w:rsidRDefault="00356B74" w:rsidP="00241E1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4F2226">
        <w:rPr>
          <w:rFonts w:ascii="Times New Roman" w:hAnsi="Times New Roman" w:cs="Times New Roman"/>
          <w:b/>
        </w:rPr>
        <w:lastRenderedPageBreak/>
        <w:t>Zgodnie z Kodeksem cywilnym, zachowek przysługuje wyłącznie:</w:t>
      </w:r>
    </w:p>
    <w:p w:rsidR="00356B74" w:rsidRDefault="004F2226" w:rsidP="00356B7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56B74">
        <w:rPr>
          <w:rFonts w:ascii="Times New Roman" w:hAnsi="Times New Roman" w:cs="Times New Roman"/>
        </w:rPr>
        <w:t>stępnym, małżonkowi oraz rodzicom spadkodawcy, którzy byliby powołani do spadku</w:t>
      </w:r>
      <w:r w:rsidR="00FB28A0">
        <w:rPr>
          <w:rFonts w:ascii="Times New Roman" w:hAnsi="Times New Roman" w:cs="Times New Roman"/>
        </w:rPr>
        <w:t xml:space="preserve">        </w:t>
      </w:r>
      <w:r w:rsidR="00356B74">
        <w:rPr>
          <w:rFonts w:ascii="Times New Roman" w:hAnsi="Times New Roman" w:cs="Times New Roman"/>
        </w:rPr>
        <w:t xml:space="preserve"> z ustawy,</w:t>
      </w:r>
    </w:p>
    <w:p w:rsidR="00356B74" w:rsidRDefault="004F2226" w:rsidP="00356B7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56B74">
        <w:rPr>
          <w:rFonts w:ascii="Times New Roman" w:hAnsi="Times New Roman" w:cs="Times New Roman"/>
        </w:rPr>
        <w:t>stępnym, małżonkowi oraz powinowatym spadkodawcy do drugiego stopnia, którzy byliby powołani do spadku z ustawy,</w:t>
      </w:r>
    </w:p>
    <w:p w:rsidR="00356B74" w:rsidRDefault="004F2226" w:rsidP="00356B7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56B74">
        <w:rPr>
          <w:rFonts w:ascii="Times New Roman" w:hAnsi="Times New Roman" w:cs="Times New Roman"/>
        </w:rPr>
        <w:t>stępnym, małżonkowi, rodzeństwu oraz rodzicom spadkodawcy, którzy byliby powołani do spadku z ustawy.</w:t>
      </w:r>
    </w:p>
    <w:p w:rsidR="00026299" w:rsidRDefault="00026299" w:rsidP="0002629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026299" w:rsidRDefault="00FB28A0" w:rsidP="0002629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26299" w:rsidRPr="00026299" w:rsidRDefault="00026299" w:rsidP="0002629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26299">
        <w:rPr>
          <w:rFonts w:ascii="Times New Roman" w:hAnsi="Times New Roman" w:cs="Times New Roman"/>
          <w:b/>
        </w:rPr>
        <w:t>Zgodnie z Kodeksem cywilnym, do chwili działu spadku spadkobiercy ponoszą odpowiedzialność za długi spadkowe:</w:t>
      </w:r>
    </w:p>
    <w:p w:rsidR="00026299" w:rsidRDefault="00026299" w:rsidP="0002629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stosunku do wielkości udziałów, w jakich nabyli spadek,</w:t>
      </w:r>
    </w:p>
    <w:p w:rsidR="00026299" w:rsidRDefault="00026299" w:rsidP="0002629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solidarną,</w:t>
      </w:r>
    </w:p>
    <w:p w:rsidR="00026299" w:rsidRDefault="00026299" w:rsidP="00026299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częściach równych, niezależnie od wielkości udziałów, w jakich nabyli spadek.</w:t>
      </w:r>
    </w:p>
    <w:p w:rsidR="00035FE4" w:rsidRDefault="00035FE4" w:rsidP="00035FE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9D3EE6" w:rsidRDefault="00FB28A0" w:rsidP="00035FE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35FE4" w:rsidRPr="009D3EE6" w:rsidRDefault="00035FE4" w:rsidP="00035FE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9D3EE6">
        <w:rPr>
          <w:rFonts w:ascii="Times New Roman" w:hAnsi="Times New Roman" w:cs="Times New Roman"/>
          <w:b/>
        </w:rPr>
        <w:t>Zgodnie z Kodeksem postępowania cywilnego,</w:t>
      </w:r>
      <w:r w:rsidR="009D3EE6">
        <w:rPr>
          <w:rFonts w:ascii="Times New Roman" w:hAnsi="Times New Roman" w:cs="Times New Roman"/>
          <w:b/>
        </w:rPr>
        <w:t xml:space="preserve"> jeżeli stronie</w:t>
      </w:r>
      <w:r w:rsidRPr="009D3EE6">
        <w:rPr>
          <w:rFonts w:ascii="Times New Roman" w:hAnsi="Times New Roman" w:cs="Times New Roman"/>
          <w:b/>
        </w:rPr>
        <w:t>, której miejsce pobytu nie jest znane, ma być doręczony pozew, do chwili zgłoszenia się strony albo jej przedstawiciela lub pełnomocnika, doręczenie może nastąpić:</w:t>
      </w:r>
    </w:p>
    <w:p w:rsidR="00035FE4" w:rsidRDefault="009D3EE6" w:rsidP="00035FE4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035FE4">
        <w:rPr>
          <w:rFonts w:ascii="Times New Roman" w:hAnsi="Times New Roman" w:cs="Times New Roman"/>
        </w:rPr>
        <w:t>ylko do rąk osoby najbliższej, ostatnio zamieszkałej wspólnie z pozwanym,</w:t>
      </w:r>
    </w:p>
    <w:p w:rsidR="00035FE4" w:rsidRDefault="009D3EE6" w:rsidP="00035FE4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035FE4">
        <w:rPr>
          <w:rFonts w:ascii="Times New Roman" w:hAnsi="Times New Roman" w:cs="Times New Roman"/>
        </w:rPr>
        <w:t>ylko do rąk kuratora ustanowionego na wniosek osoby zainteresowanej przez sąd orzekający,</w:t>
      </w:r>
    </w:p>
    <w:p w:rsidR="00035FE4" w:rsidRDefault="009D3EE6" w:rsidP="00035FE4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035FE4">
        <w:rPr>
          <w:rFonts w:ascii="Times New Roman" w:hAnsi="Times New Roman" w:cs="Times New Roman"/>
        </w:rPr>
        <w:t>ylko do rąk pełnomocnika dla doręczeń wskazanego przez powoda.</w:t>
      </w:r>
    </w:p>
    <w:p w:rsidR="000B3F57" w:rsidRDefault="000B3F57" w:rsidP="000B3F5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CD47A1" w:rsidRDefault="00FB28A0" w:rsidP="000B3F5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B3F57" w:rsidRPr="00CD47A1" w:rsidRDefault="000B3F57" w:rsidP="000B3F5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CD47A1">
        <w:rPr>
          <w:rFonts w:ascii="Times New Roman" w:hAnsi="Times New Roman" w:cs="Times New Roman"/>
          <w:b/>
        </w:rPr>
        <w:t>Zgodnie z Kodeksem postępowania cywilnego, jeżeli kodeks ten przewiduje grzywnę bez określenia jej wysokości, grzywnę wymierza się w kwocie do:</w:t>
      </w:r>
    </w:p>
    <w:p w:rsidR="000B3F57" w:rsidRDefault="000B3F57" w:rsidP="000B3F57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tysiąca złotych,</w:t>
      </w:r>
    </w:p>
    <w:p w:rsidR="000B3F57" w:rsidRDefault="000B3F57" w:rsidP="000B3F57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trzech tysięcy złotych,</w:t>
      </w:r>
    </w:p>
    <w:p w:rsidR="000B3F57" w:rsidRDefault="000B3F57" w:rsidP="000B3F57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pięciu tysięcy złotych.</w:t>
      </w:r>
    </w:p>
    <w:p w:rsidR="00FB28A0" w:rsidRDefault="00FB28A0" w:rsidP="00FB28A0">
      <w:pPr>
        <w:spacing w:line="360" w:lineRule="auto"/>
        <w:jc w:val="both"/>
        <w:rPr>
          <w:rFonts w:ascii="Times New Roman" w:hAnsi="Times New Roman" w:cs="Times New Roman"/>
        </w:rPr>
      </w:pPr>
    </w:p>
    <w:p w:rsidR="00CD47A1" w:rsidRDefault="00CD47A1" w:rsidP="00CD47A1">
      <w:pPr>
        <w:spacing w:line="360" w:lineRule="auto"/>
        <w:jc w:val="both"/>
        <w:rPr>
          <w:rFonts w:ascii="Times New Roman" w:hAnsi="Times New Roman" w:cs="Times New Roman"/>
        </w:rPr>
      </w:pPr>
    </w:p>
    <w:p w:rsidR="00CD47A1" w:rsidRPr="00CD47A1" w:rsidRDefault="00CD47A1" w:rsidP="00CD47A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CD47A1">
        <w:rPr>
          <w:rFonts w:ascii="Times New Roman" w:hAnsi="Times New Roman" w:cs="Times New Roman"/>
          <w:b/>
        </w:rPr>
        <w:lastRenderedPageBreak/>
        <w:t>Zgodnie z Kodeksem postępowania cywilnego, jeżeli powództwo wzajemne jest dopuszczalne oraz zostało wniesione w odpowiedzi na pozew</w:t>
      </w:r>
      <w:r>
        <w:rPr>
          <w:rFonts w:ascii="Times New Roman" w:hAnsi="Times New Roman" w:cs="Times New Roman"/>
          <w:b/>
        </w:rPr>
        <w:t xml:space="preserve"> i pozew</w:t>
      </w:r>
      <w:r w:rsidRPr="00CD47A1">
        <w:rPr>
          <w:rFonts w:ascii="Times New Roman" w:hAnsi="Times New Roman" w:cs="Times New Roman"/>
          <w:b/>
        </w:rPr>
        <w:t xml:space="preserve"> wzajemny podlega rozpoznaniu przez sąd okręgowy, a sprawa wszczęta była w sądzie rejonowym:</w:t>
      </w:r>
    </w:p>
    <w:p w:rsidR="00CD47A1" w:rsidRDefault="00CD47A1" w:rsidP="00CD47A1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Sąd ten przekazuje całą sprawę sądowi właściwemu do rozpoznania powództwa wzajemnego,</w:t>
      </w:r>
    </w:p>
    <w:p w:rsidR="00CD47A1" w:rsidRDefault="00CD47A1" w:rsidP="00CD47A1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Postępowanie będzie toczyło się przed tym sądem, przed którym zawisła sprawa </w:t>
      </w:r>
      <w:r w:rsidR="00FB28A0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z powództwa głównego,</w:t>
      </w:r>
    </w:p>
    <w:p w:rsidR="00CD47A1" w:rsidRDefault="00CD47A1" w:rsidP="00CD47A1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Każde z tych powództw będzie musiało być rozpoznane oddzielnie przez sąd właściwy rzeczowo. </w:t>
      </w:r>
    </w:p>
    <w:p w:rsidR="009D09B2" w:rsidRDefault="009D09B2" w:rsidP="009D09B2">
      <w:pPr>
        <w:spacing w:line="360" w:lineRule="auto"/>
        <w:jc w:val="both"/>
        <w:rPr>
          <w:rFonts w:ascii="Times New Roman" w:hAnsi="Times New Roman" w:cs="Times New Roman"/>
        </w:rPr>
      </w:pPr>
    </w:p>
    <w:p w:rsidR="009D09B2" w:rsidRPr="009D09B2" w:rsidRDefault="009D09B2" w:rsidP="009D09B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9D09B2">
        <w:rPr>
          <w:rFonts w:ascii="Times New Roman" w:hAnsi="Times New Roman" w:cs="Times New Roman"/>
          <w:b/>
        </w:rPr>
        <w:t>Zgodnie z Kodeksem postepowania cywilnego, zażalenie do sądu drugiej instancji przysługuje na postanowienia sądu pierwszej instancji, których przedmiotem jest:</w:t>
      </w:r>
    </w:p>
    <w:p w:rsidR="009D09B2" w:rsidRDefault="00590ACB" w:rsidP="009D09B2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9D09B2">
        <w:rPr>
          <w:rFonts w:ascii="Times New Roman" w:hAnsi="Times New Roman" w:cs="Times New Roman"/>
        </w:rPr>
        <w:t>ddalenie wniosku o dopuszczenie dowodu z opinii biegłego,</w:t>
      </w:r>
    </w:p>
    <w:p w:rsidR="009D09B2" w:rsidRDefault="00590ACB" w:rsidP="009D09B2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9D09B2">
        <w:rPr>
          <w:rFonts w:ascii="Times New Roman" w:hAnsi="Times New Roman" w:cs="Times New Roman"/>
        </w:rPr>
        <w:t>rzekazanie sprawy do rozpoznania sądowi wyższego rzędu,</w:t>
      </w:r>
    </w:p>
    <w:p w:rsidR="009D09B2" w:rsidRDefault="00590ACB" w:rsidP="009D09B2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9D09B2">
        <w:rPr>
          <w:rFonts w:ascii="Times New Roman" w:hAnsi="Times New Roman" w:cs="Times New Roman"/>
        </w:rPr>
        <w:t>drzucenie skargi na orzeczenie referendarza sądowego.</w:t>
      </w:r>
    </w:p>
    <w:p w:rsidR="00A4408F" w:rsidRDefault="00A4408F" w:rsidP="00A4408F">
      <w:pPr>
        <w:spacing w:line="360" w:lineRule="auto"/>
        <w:jc w:val="both"/>
        <w:rPr>
          <w:rFonts w:ascii="Times New Roman" w:hAnsi="Times New Roman" w:cs="Times New Roman"/>
        </w:rPr>
      </w:pPr>
    </w:p>
    <w:p w:rsidR="00A4408F" w:rsidRDefault="00A4408F" w:rsidP="00A4408F">
      <w:pPr>
        <w:spacing w:line="360" w:lineRule="auto"/>
        <w:jc w:val="both"/>
        <w:rPr>
          <w:rFonts w:ascii="Times New Roman" w:hAnsi="Times New Roman" w:cs="Times New Roman"/>
        </w:rPr>
      </w:pPr>
    </w:p>
    <w:p w:rsidR="00A4408F" w:rsidRPr="00A4408F" w:rsidRDefault="00A4408F" w:rsidP="00A440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A4408F">
        <w:rPr>
          <w:rFonts w:ascii="Times New Roman" w:hAnsi="Times New Roman" w:cs="Times New Roman"/>
          <w:b/>
        </w:rPr>
        <w:t>Zgodnie z Kodeksem postępowania cywilnego, na postanowienie sądu pierwszej instancji odrzucające skargę o stwierdzenie niezgodności z prawem prawomocnego orzeczenia, przysługuje:</w:t>
      </w:r>
    </w:p>
    <w:p w:rsidR="00A4408F" w:rsidRDefault="00A4408F" w:rsidP="00A4408F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zażalenie do sądu drugiej instancji,</w:t>
      </w:r>
    </w:p>
    <w:p w:rsidR="00A4408F" w:rsidRDefault="00A4408F" w:rsidP="00A4408F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skarga kasacyjna do Sądu Najwyższego,</w:t>
      </w:r>
    </w:p>
    <w:p w:rsidR="00A4408F" w:rsidRDefault="00A4408F" w:rsidP="00A4408F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zażalenie do Sądu Najwyższego. </w:t>
      </w:r>
    </w:p>
    <w:p w:rsidR="00CD6D81" w:rsidRDefault="00CD6D81" w:rsidP="00CD6D81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CD6D81">
      <w:pPr>
        <w:spacing w:line="360" w:lineRule="auto"/>
        <w:jc w:val="both"/>
        <w:rPr>
          <w:rFonts w:ascii="Times New Roman" w:hAnsi="Times New Roman" w:cs="Times New Roman"/>
        </w:rPr>
      </w:pPr>
    </w:p>
    <w:p w:rsidR="00CD6D81" w:rsidRPr="007501B1" w:rsidRDefault="00CD6D81" w:rsidP="00CD6D8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501B1">
        <w:rPr>
          <w:rFonts w:ascii="Times New Roman" w:hAnsi="Times New Roman" w:cs="Times New Roman"/>
          <w:b/>
        </w:rPr>
        <w:t>Zgodnie z Kodeksem postępowania cywilnego, w postepowaniu toczącym się na skutek zażalenia sąd drugiej instancji:</w:t>
      </w:r>
    </w:p>
    <w:p w:rsidR="00CD6D81" w:rsidRDefault="007501B1" w:rsidP="00CD6D81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CD6D81">
        <w:rPr>
          <w:rFonts w:ascii="Times New Roman" w:hAnsi="Times New Roman" w:cs="Times New Roman"/>
        </w:rPr>
        <w:t>ie uzasadnia postanowienia kończącego to postępowanie,</w:t>
      </w:r>
    </w:p>
    <w:p w:rsidR="00CD6D81" w:rsidRDefault="007501B1" w:rsidP="00CD6D81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CD6D81">
        <w:rPr>
          <w:rFonts w:ascii="Times New Roman" w:hAnsi="Times New Roman" w:cs="Times New Roman"/>
        </w:rPr>
        <w:t>zasadnia postanowienie kończące to postępowanie tylko na wniosek strony wniesiony w terminie ustawowym,</w:t>
      </w:r>
    </w:p>
    <w:p w:rsidR="00FB28A0" w:rsidRDefault="007501B1" w:rsidP="0029420A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CD6D81">
        <w:rPr>
          <w:rFonts w:ascii="Times New Roman" w:hAnsi="Times New Roman" w:cs="Times New Roman"/>
        </w:rPr>
        <w:t xml:space="preserve">zasadnia z urzędu </w:t>
      </w:r>
      <w:r w:rsidR="0029420A">
        <w:rPr>
          <w:rFonts w:ascii="Times New Roman" w:hAnsi="Times New Roman" w:cs="Times New Roman"/>
        </w:rPr>
        <w:t>postanowienie kończące to postę</w:t>
      </w:r>
      <w:r w:rsidR="00CD6D81">
        <w:rPr>
          <w:rFonts w:ascii="Times New Roman" w:hAnsi="Times New Roman" w:cs="Times New Roman"/>
        </w:rPr>
        <w:t xml:space="preserve">powanie. </w:t>
      </w:r>
    </w:p>
    <w:p w:rsidR="00FB28A0" w:rsidRPr="00FB28A0" w:rsidRDefault="00FB28A0" w:rsidP="00FB28A0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:rsidR="0029420A" w:rsidRPr="0029420A" w:rsidRDefault="0029420A" w:rsidP="0029420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29420A">
        <w:rPr>
          <w:rFonts w:ascii="Times New Roman" w:hAnsi="Times New Roman" w:cs="Times New Roman"/>
          <w:b/>
        </w:rPr>
        <w:lastRenderedPageBreak/>
        <w:t>Zgodnie z Kodeksem postępowania cywilnego, niedopuszczalną skargę o wznowienie postępowania sąd:</w:t>
      </w:r>
    </w:p>
    <w:p w:rsidR="0029420A" w:rsidRDefault="0029420A" w:rsidP="0029420A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oddala,</w:t>
      </w:r>
    </w:p>
    <w:p w:rsidR="0029420A" w:rsidRDefault="0029420A" w:rsidP="0029420A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odrzuca,</w:t>
      </w:r>
    </w:p>
    <w:p w:rsidR="0029420A" w:rsidRDefault="0029420A" w:rsidP="0029420A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zwraca.</w:t>
      </w:r>
    </w:p>
    <w:p w:rsidR="0029420A" w:rsidRDefault="0029420A" w:rsidP="0029420A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Default="00FB28A0" w:rsidP="0029420A">
      <w:pPr>
        <w:spacing w:line="360" w:lineRule="auto"/>
        <w:jc w:val="both"/>
        <w:rPr>
          <w:rFonts w:ascii="Times New Roman" w:hAnsi="Times New Roman" w:cs="Times New Roman"/>
        </w:rPr>
      </w:pPr>
    </w:p>
    <w:p w:rsidR="0029420A" w:rsidRPr="00EE698B" w:rsidRDefault="0029420A" w:rsidP="0029420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EE698B">
        <w:rPr>
          <w:rFonts w:ascii="Times New Roman" w:hAnsi="Times New Roman" w:cs="Times New Roman"/>
          <w:b/>
        </w:rPr>
        <w:t>Zgodnie z Kodeksem postępowania cywilnego, w postępowaniu uproszczonym, zmiana powództwa:</w:t>
      </w:r>
    </w:p>
    <w:p w:rsidR="0029420A" w:rsidRDefault="00EE698B" w:rsidP="0029420A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29420A">
        <w:rPr>
          <w:rFonts w:ascii="Times New Roman" w:hAnsi="Times New Roman" w:cs="Times New Roman"/>
        </w:rPr>
        <w:t>est dopuszczalna, jeżeli sąd uzna, że nie wpłynie to na przedłużenie postępowania,</w:t>
      </w:r>
    </w:p>
    <w:p w:rsidR="0029420A" w:rsidRDefault="00EE698B" w:rsidP="0029420A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29420A">
        <w:rPr>
          <w:rFonts w:ascii="Times New Roman" w:hAnsi="Times New Roman" w:cs="Times New Roman"/>
        </w:rPr>
        <w:t>est dopuszczalna, jeżeli pozwany wyrazi na to zgodę,</w:t>
      </w:r>
    </w:p>
    <w:p w:rsidR="0029420A" w:rsidRDefault="00EE698B" w:rsidP="0029420A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29420A">
        <w:rPr>
          <w:rFonts w:ascii="Times New Roman" w:hAnsi="Times New Roman" w:cs="Times New Roman"/>
        </w:rPr>
        <w:t>est niedopuszczalna.</w:t>
      </w:r>
    </w:p>
    <w:p w:rsidR="00094BE1" w:rsidRDefault="00094BE1" w:rsidP="00094BE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B28A0" w:rsidRPr="00856339" w:rsidRDefault="00FB28A0" w:rsidP="00094BE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094BE1" w:rsidRPr="00856339" w:rsidRDefault="00856339" w:rsidP="00094BE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856339">
        <w:rPr>
          <w:rFonts w:ascii="Times New Roman" w:hAnsi="Times New Roman" w:cs="Times New Roman"/>
          <w:b/>
        </w:rPr>
        <w:t>Zgodnie z ustawą o kosztach sądowych w sprawach cywilnych, sąd zwraca stronie różnicę między opłatą pobraną od strony a opłata należną:</w:t>
      </w:r>
    </w:p>
    <w:p w:rsidR="00856339" w:rsidRDefault="00856339" w:rsidP="0085633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wyłącznie na wniosek strony, zgłoszony nie później niż w terminie 3 miesięcy od dnia wniesienia opłaty,</w:t>
      </w:r>
    </w:p>
    <w:p w:rsidR="00856339" w:rsidRDefault="00856339" w:rsidP="0085633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wyłącznie na wniosek strony, zgłoszony nie później niż w terminie roku od dnia wniesienia opłaty,</w:t>
      </w:r>
    </w:p>
    <w:p w:rsidR="00856339" w:rsidRDefault="00856339" w:rsidP="0085633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urzędu.</w:t>
      </w:r>
    </w:p>
    <w:p w:rsidR="00FB28A0" w:rsidRDefault="00FB28A0" w:rsidP="00FB28A0">
      <w:pPr>
        <w:spacing w:line="360" w:lineRule="auto"/>
        <w:jc w:val="both"/>
        <w:rPr>
          <w:rFonts w:ascii="Times New Roman" w:hAnsi="Times New Roman" w:cs="Times New Roman"/>
        </w:rPr>
      </w:pPr>
    </w:p>
    <w:p w:rsidR="00FB28A0" w:rsidRPr="00FB28A0" w:rsidRDefault="00FB28A0" w:rsidP="00FB28A0">
      <w:pPr>
        <w:spacing w:line="360" w:lineRule="auto"/>
        <w:jc w:val="both"/>
        <w:rPr>
          <w:rFonts w:ascii="Times New Roman" w:hAnsi="Times New Roman" w:cs="Times New Roman"/>
        </w:rPr>
      </w:pPr>
    </w:p>
    <w:p w:rsidR="00736FBC" w:rsidRPr="00736FBC" w:rsidRDefault="00736FBC" w:rsidP="00736FB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36FBC">
        <w:rPr>
          <w:rFonts w:ascii="Times New Roman" w:hAnsi="Times New Roman" w:cs="Times New Roman"/>
          <w:b/>
        </w:rPr>
        <w:t>Zgodnie z ustawą o kosztach sądowych w sprawach cywilnych, roszczenie świadka o zwrot kosztów podróży przedawnia się z upływem:</w:t>
      </w:r>
    </w:p>
    <w:p w:rsidR="00736FBC" w:rsidRDefault="00736FBC" w:rsidP="00736FBC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roku, licząc od dnia powstania tego roszczenia,</w:t>
      </w:r>
    </w:p>
    <w:p w:rsidR="00736FBC" w:rsidRDefault="00736FBC" w:rsidP="00736FBC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trzech lat, licząc od dnia powstania tego roszczenia,</w:t>
      </w:r>
    </w:p>
    <w:p w:rsidR="00736FBC" w:rsidRPr="00736FBC" w:rsidRDefault="00736FBC" w:rsidP="00386C59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r w:rsidRPr="00386C59">
        <w:rPr>
          <w:rFonts w:ascii="Times New Roman" w:hAnsi="Times New Roman" w:cs="Times New Roman"/>
        </w:rPr>
        <w:t xml:space="preserve">trzech lat, licząc od dnia prawomocnego zakończenia postępowania w sprawie, w której roszczenie to powstało. </w:t>
      </w:r>
      <w:bookmarkStart w:id="0" w:name="_GoBack"/>
      <w:bookmarkEnd w:id="0"/>
    </w:p>
    <w:sectPr w:rsidR="00736FBC" w:rsidRPr="00736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3861"/>
    <w:multiLevelType w:val="hybridMultilevel"/>
    <w:tmpl w:val="B8504B1C"/>
    <w:lvl w:ilvl="0" w:tplc="4712F9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141366"/>
    <w:multiLevelType w:val="hybridMultilevel"/>
    <w:tmpl w:val="12CA259C"/>
    <w:lvl w:ilvl="0" w:tplc="A05EDE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C55148"/>
    <w:multiLevelType w:val="hybridMultilevel"/>
    <w:tmpl w:val="C2CA61BA"/>
    <w:lvl w:ilvl="0" w:tplc="8744BD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BD3CFF"/>
    <w:multiLevelType w:val="hybridMultilevel"/>
    <w:tmpl w:val="EA4612F4"/>
    <w:lvl w:ilvl="0" w:tplc="4F8035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817F35"/>
    <w:multiLevelType w:val="hybridMultilevel"/>
    <w:tmpl w:val="E49AA1C8"/>
    <w:lvl w:ilvl="0" w:tplc="0CF8D9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96969"/>
    <w:multiLevelType w:val="hybridMultilevel"/>
    <w:tmpl w:val="A962B24C"/>
    <w:lvl w:ilvl="0" w:tplc="8FCCEF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D3904"/>
    <w:multiLevelType w:val="hybridMultilevel"/>
    <w:tmpl w:val="0A024BA0"/>
    <w:lvl w:ilvl="0" w:tplc="50E248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25FE7"/>
    <w:multiLevelType w:val="hybridMultilevel"/>
    <w:tmpl w:val="40485640"/>
    <w:lvl w:ilvl="0" w:tplc="ABD0F0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D56CE2"/>
    <w:multiLevelType w:val="hybridMultilevel"/>
    <w:tmpl w:val="6BC6109E"/>
    <w:lvl w:ilvl="0" w:tplc="EC668F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A342C9"/>
    <w:multiLevelType w:val="hybridMultilevel"/>
    <w:tmpl w:val="F3DE1BBA"/>
    <w:lvl w:ilvl="0" w:tplc="3C1C5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A65F1F"/>
    <w:multiLevelType w:val="hybridMultilevel"/>
    <w:tmpl w:val="724C6962"/>
    <w:lvl w:ilvl="0" w:tplc="865A94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145905"/>
    <w:multiLevelType w:val="hybridMultilevel"/>
    <w:tmpl w:val="97BA5E56"/>
    <w:lvl w:ilvl="0" w:tplc="4C1E6B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1676DD"/>
    <w:multiLevelType w:val="hybridMultilevel"/>
    <w:tmpl w:val="59FC8982"/>
    <w:lvl w:ilvl="0" w:tplc="1EE800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79715A"/>
    <w:multiLevelType w:val="hybridMultilevel"/>
    <w:tmpl w:val="EACA0B7E"/>
    <w:lvl w:ilvl="0" w:tplc="FFDE99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6133AF"/>
    <w:multiLevelType w:val="hybridMultilevel"/>
    <w:tmpl w:val="D0CE0C6A"/>
    <w:lvl w:ilvl="0" w:tplc="FD80A6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FD7A70"/>
    <w:multiLevelType w:val="hybridMultilevel"/>
    <w:tmpl w:val="134CC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17816"/>
    <w:multiLevelType w:val="hybridMultilevel"/>
    <w:tmpl w:val="30626684"/>
    <w:lvl w:ilvl="0" w:tplc="7A7435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BA18CA"/>
    <w:multiLevelType w:val="hybridMultilevel"/>
    <w:tmpl w:val="3962C50C"/>
    <w:lvl w:ilvl="0" w:tplc="C7C2E0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20528E"/>
    <w:multiLevelType w:val="hybridMultilevel"/>
    <w:tmpl w:val="063217A8"/>
    <w:lvl w:ilvl="0" w:tplc="870C3E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431D26"/>
    <w:multiLevelType w:val="hybridMultilevel"/>
    <w:tmpl w:val="953E130A"/>
    <w:lvl w:ilvl="0" w:tplc="6AD009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DC7628"/>
    <w:multiLevelType w:val="hybridMultilevel"/>
    <w:tmpl w:val="49908058"/>
    <w:lvl w:ilvl="0" w:tplc="353EED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A46C15"/>
    <w:multiLevelType w:val="hybridMultilevel"/>
    <w:tmpl w:val="95240832"/>
    <w:lvl w:ilvl="0" w:tplc="5B5EBB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9A37F6"/>
    <w:multiLevelType w:val="hybridMultilevel"/>
    <w:tmpl w:val="22D00F00"/>
    <w:lvl w:ilvl="0" w:tplc="B58A26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7266ED"/>
    <w:multiLevelType w:val="hybridMultilevel"/>
    <w:tmpl w:val="B5B09224"/>
    <w:lvl w:ilvl="0" w:tplc="26A299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EF5584"/>
    <w:multiLevelType w:val="hybridMultilevel"/>
    <w:tmpl w:val="A6D6FEF2"/>
    <w:lvl w:ilvl="0" w:tplc="034262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4879B2"/>
    <w:multiLevelType w:val="hybridMultilevel"/>
    <w:tmpl w:val="D1485F04"/>
    <w:lvl w:ilvl="0" w:tplc="ECD8D8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EE52CB"/>
    <w:multiLevelType w:val="hybridMultilevel"/>
    <w:tmpl w:val="C0924CFC"/>
    <w:lvl w:ilvl="0" w:tplc="804089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1A0233"/>
    <w:multiLevelType w:val="hybridMultilevel"/>
    <w:tmpl w:val="4766774C"/>
    <w:lvl w:ilvl="0" w:tplc="6C1AB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3B0470"/>
    <w:multiLevelType w:val="hybridMultilevel"/>
    <w:tmpl w:val="34B0BA7E"/>
    <w:lvl w:ilvl="0" w:tplc="E4701D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F25677"/>
    <w:multiLevelType w:val="hybridMultilevel"/>
    <w:tmpl w:val="87A0AECA"/>
    <w:lvl w:ilvl="0" w:tplc="10120A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7E3A2D"/>
    <w:multiLevelType w:val="hybridMultilevel"/>
    <w:tmpl w:val="F69EA320"/>
    <w:lvl w:ilvl="0" w:tplc="3BEA04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1E35FE"/>
    <w:multiLevelType w:val="hybridMultilevel"/>
    <w:tmpl w:val="3AEE3A82"/>
    <w:lvl w:ilvl="0" w:tplc="B69E5B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AA2EEC"/>
    <w:multiLevelType w:val="hybridMultilevel"/>
    <w:tmpl w:val="8D569DC0"/>
    <w:lvl w:ilvl="0" w:tplc="14266F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580426"/>
    <w:multiLevelType w:val="hybridMultilevel"/>
    <w:tmpl w:val="08BEA3AA"/>
    <w:lvl w:ilvl="0" w:tplc="CC80F3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7D2A22"/>
    <w:multiLevelType w:val="hybridMultilevel"/>
    <w:tmpl w:val="29982AF6"/>
    <w:lvl w:ilvl="0" w:tplc="650637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560912"/>
    <w:multiLevelType w:val="hybridMultilevel"/>
    <w:tmpl w:val="67629178"/>
    <w:lvl w:ilvl="0" w:tplc="A802CD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3E17"/>
    <w:multiLevelType w:val="hybridMultilevel"/>
    <w:tmpl w:val="57C8E9EE"/>
    <w:lvl w:ilvl="0" w:tplc="8D3813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F81E30"/>
    <w:multiLevelType w:val="hybridMultilevel"/>
    <w:tmpl w:val="A2C842E8"/>
    <w:lvl w:ilvl="0" w:tplc="C7BC24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4"/>
  </w:num>
  <w:num w:numId="3">
    <w:abstractNumId w:val="16"/>
  </w:num>
  <w:num w:numId="4">
    <w:abstractNumId w:val="33"/>
  </w:num>
  <w:num w:numId="5">
    <w:abstractNumId w:val="6"/>
  </w:num>
  <w:num w:numId="6">
    <w:abstractNumId w:val="21"/>
  </w:num>
  <w:num w:numId="7">
    <w:abstractNumId w:val="10"/>
  </w:num>
  <w:num w:numId="8">
    <w:abstractNumId w:val="0"/>
  </w:num>
  <w:num w:numId="9">
    <w:abstractNumId w:val="12"/>
  </w:num>
  <w:num w:numId="10">
    <w:abstractNumId w:val="14"/>
  </w:num>
  <w:num w:numId="11">
    <w:abstractNumId w:val="37"/>
  </w:num>
  <w:num w:numId="12">
    <w:abstractNumId w:val="20"/>
  </w:num>
  <w:num w:numId="13">
    <w:abstractNumId w:val="1"/>
  </w:num>
  <w:num w:numId="14">
    <w:abstractNumId w:val="17"/>
  </w:num>
  <w:num w:numId="15">
    <w:abstractNumId w:val="27"/>
  </w:num>
  <w:num w:numId="16">
    <w:abstractNumId w:val="26"/>
  </w:num>
  <w:num w:numId="17">
    <w:abstractNumId w:val="18"/>
  </w:num>
  <w:num w:numId="18">
    <w:abstractNumId w:val="36"/>
  </w:num>
  <w:num w:numId="19">
    <w:abstractNumId w:val="31"/>
  </w:num>
  <w:num w:numId="20">
    <w:abstractNumId w:val="35"/>
  </w:num>
  <w:num w:numId="21">
    <w:abstractNumId w:val="4"/>
  </w:num>
  <w:num w:numId="22">
    <w:abstractNumId w:val="2"/>
  </w:num>
  <w:num w:numId="23">
    <w:abstractNumId w:val="3"/>
  </w:num>
  <w:num w:numId="24">
    <w:abstractNumId w:val="30"/>
  </w:num>
  <w:num w:numId="25">
    <w:abstractNumId w:val="11"/>
  </w:num>
  <w:num w:numId="26">
    <w:abstractNumId w:val="13"/>
  </w:num>
  <w:num w:numId="27">
    <w:abstractNumId w:val="7"/>
  </w:num>
  <w:num w:numId="28">
    <w:abstractNumId w:val="19"/>
  </w:num>
  <w:num w:numId="29">
    <w:abstractNumId w:val="34"/>
  </w:num>
  <w:num w:numId="30">
    <w:abstractNumId w:val="29"/>
  </w:num>
  <w:num w:numId="31">
    <w:abstractNumId w:val="8"/>
  </w:num>
  <w:num w:numId="32">
    <w:abstractNumId w:val="32"/>
  </w:num>
  <w:num w:numId="33">
    <w:abstractNumId w:val="5"/>
  </w:num>
  <w:num w:numId="34">
    <w:abstractNumId w:val="9"/>
  </w:num>
  <w:num w:numId="35">
    <w:abstractNumId w:val="28"/>
  </w:num>
  <w:num w:numId="36">
    <w:abstractNumId w:val="22"/>
  </w:num>
  <w:num w:numId="37">
    <w:abstractNumId w:val="23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84"/>
    <w:rsid w:val="00026299"/>
    <w:rsid w:val="00035FE4"/>
    <w:rsid w:val="00041DC6"/>
    <w:rsid w:val="00046955"/>
    <w:rsid w:val="000564C4"/>
    <w:rsid w:val="00094BE1"/>
    <w:rsid w:val="000B3F57"/>
    <w:rsid w:val="000B489D"/>
    <w:rsid w:val="000C1985"/>
    <w:rsid w:val="000F3D25"/>
    <w:rsid w:val="00130B7B"/>
    <w:rsid w:val="00170FC8"/>
    <w:rsid w:val="00241E13"/>
    <w:rsid w:val="0029420A"/>
    <w:rsid w:val="002E59BC"/>
    <w:rsid w:val="002F0BA1"/>
    <w:rsid w:val="00312325"/>
    <w:rsid w:val="0033477B"/>
    <w:rsid w:val="00356B74"/>
    <w:rsid w:val="00386C59"/>
    <w:rsid w:val="00440493"/>
    <w:rsid w:val="00450DBB"/>
    <w:rsid w:val="004834A6"/>
    <w:rsid w:val="004E2ED9"/>
    <w:rsid w:val="004F2226"/>
    <w:rsid w:val="00575363"/>
    <w:rsid w:val="00590ACB"/>
    <w:rsid w:val="005B5121"/>
    <w:rsid w:val="005D1803"/>
    <w:rsid w:val="00696E97"/>
    <w:rsid w:val="007165E3"/>
    <w:rsid w:val="00736FBC"/>
    <w:rsid w:val="007501B1"/>
    <w:rsid w:val="008106F6"/>
    <w:rsid w:val="00856339"/>
    <w:rsid w:val="00873853"/>
    <w:rsid w:val="00963084"/>
    <w:rsid w:val="009B2CC5"/>
    <w:rsid w:val="009D09B2"/>
    <w:rsid w:val="009D3EE6"/>
    <w:rsid w:val="00A4408F"/>
    <w:rsid w:val="00AE5F60"/>
    <w:rsid w:val="00B61EE3"/>
    <w:rsid w:val="00BB7C11"/>
    <w:rsid w:val="00BC7195"/>
    <w:rsid w:val="00BC7FD5"/>
    <w:rsid w:val="00CD47A1"/>
    <w:rsid w:val="00CD6D81"/>
    <w:rsid w:val="00D97526"/>
    <w:rsid w:val="00EE698B"/>
    <w:rsid w:val="00FB28A0"/>
    <w:rsid w:val="00FB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BE411-4A34-4798-B905-426527DF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D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2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C4EE8-4969-4CAB-8D11-1BCC0611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1744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Wilk</dc:creator>
  <cp:keywords/>
  <dc:description/>
  <cp:lastModifiedBy>Wilk Aneta</cp:lastModifiedBy>
  <cp:revision>48</cp:revision>
  <cp:lastPrinted>2017-05-12T11:37:00Z</cp:lastPrinted>
  <dcterms:created xsi:type="dcterms:W3CDTF">2015-06-25T08:33:00Z</dcterms:created>
  <dcterms:modified xsi:type="dcterms:W3CDTF">2017-05-12T11:37:00Z</dcterms:modified>
</cp:coreProperties>
</file>