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220" w:after="1080" w:line="240" w:lineRule="auto"/>
        <w:ind w:left="1980" w:right="0" w:firstLine="0"/>
        <w:jc w:val="left"/>
      </w:pPr>
      <w:r>
        <w:rPr>
          <w:rStyle w:val="CharStyle3"/>
          <w:b/>
          <w:bCs/>
        </w:rPr>
        <w:t>Imię i nazwisko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</w:pPr>
      <w:r>
        <w:rPr>
          <w:rStyle w:val="CharStyle3"/>
          <w:b/>
          <w:bCs/>
        </w:rPr>
        <w:t>KONKURS NA STANOWISKO ASYSTENTA SĘDZIEGO</w:t>
        <w:br/>
        <w:t>Ogłoszenie KD. 1011-78/2022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3"/>
          <w:b/>
          <w:bCs/>
        </w:rPr>
        <w:t>Test (obejmujący 36 pytań z zakresu prawa cywilnego i karnego oraz postępowania cywilnego i karnego)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99" w:val="left"/>
        </w:tabs>
        <w:bidi w:val="0"/>
        <w:spacing w:before="0" w:line="240" w:lineRule="auto"/>
        <w:ind w:left="780" w:right="0" w:hanging="320"/>
        <w:jc w:val="left"/>
      </w:pPr>
      <w:r>
        <w:rPr>
          <w:rStyle w:val="CharStyle3"/>
        </w:rPr>
        <w:t>Zgodnie z Kodeksem postępowania cywilnego sąd może sprawdzić wartość przedmiotu sporu: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108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na każdym etapie postępowania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127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tylko na zarzut pozwanego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108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przed doręczeniem odpisu pozwu pozwanemu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08" w:val="left"/>
        </w:tabs>
        <w:bidi w:val="0"/>
        <w:spacing w:before="0" w:line="240" w:lineRule="auto"/>
        <w:ind w:left="0" w:right="0" w:firstLine="440"/>
        <w:jc w:val="both"/>
      </w:pPr>
      <w:r>
        <w:rPr>
          <w:rStyle w:val="CharStyle3"/>
        </w:rPr>
        <w:t>Czy zachodzi współuczestnictwo konieczne między kilkoma pozwanymi w sprawie o: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08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zapłatę z tytułu umowy pożyczki (pożyczkobiorca i poręczyciel)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27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zapłatę z tytułu odpowiedzialności cywilnej (ubezpieczyciel i ubezpieczony)</w:t>
      </w:r>
    </w:p>
    <w:p>
      <w:pPr>
        <w:pStyle w:val="Style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1108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eksmisję (mieszkujący w lokalu najemca i jego matka)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14" w:val="left"/>
        </w:tabs>
        <w:bidi w:val="0"/>
        <w:spacing w:before="0" w:line="240" w:lineRule="auto"/>
        <w:ind w:left="780" w:right="0" w:hanging="320"/>
        <w:jc w:val="both"/>
      </w:pPr>
      <w:r>
        <w:rPr>
          <w:rStyle w:val="CharStyle3"/>
        </w:rPr>
        <w:t>Zgodnie z Kodeksem postępowania cywilnego zażalenie do innego składu pierwszej instancji przysługuje na postanowienia tego sądu, na mocy których: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113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odrzucono pozew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137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odrzucono zażalenie</w:t>
      </w:r>
    </w:p>
    <w:p>
      <w:pPr>
        <w:pStyle w:val="Style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108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zawieszono postępowanie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98" w:val="left"/>
        </w:tabs>
        <w:bidi w:val="0"/>
        <w:spacing w:before="0" w:line="240" w:lineRule="auto"/>
        <w:ind w:left="0" w:right="0" w:firstLine="440"/>
        <w:jc w:val="left"/>
      </w:pPr>
      <w:r>
        <w:rPr>
          <w:rStyle w:val="CharStyle3"/>
        </w:rPr>
        <w:t>Od wyroku zaocznego oddalającego powództwo w całości powodowi przysługuje: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108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sprzeciw w terminie 2 tygodni od doręczenia wyroku zaocznego</w:t>
      </w:r>
    </w:p>
    <w:p>
      <w:pPr>
        <w:pStyle w:val="Style2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127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apelacja w terminie 2 tygodni od doręczenia odpisu wyroku z uzasadnieniem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09" w:val="left"/>
        </w:tabs>
        <w:bidi w:val="0"/>
        <w:spacing w:before="0" w:line="240" w:lineRule="auto"/>
        <w:ind w:left="780" w:right="0" w:hanging="320"/>
        <w:jc w:val="both"/>
      </w:pPr>
      <w:r>
        <w:rPr>
          <w:rStyle w:val="CharStyle3"/>
        </w:rPr>
        <w:t>Rozpoznając skargę na orzeczenie referendarza o odmowie ustanowienie pełnomocnika z urzędu sąd działa jako: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113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sąd pierwszej instancji</w:t>
      </w:r>
    </w:p>
    <w:p>
      <w:pPr>
        <w:pStyle w:val="Style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127" w:val="left"/>
        </w:tabs>
        <w:bidi w:val="0"/>
        <w:spacing w:before="0" w:line="240" w:lineRule="auto"/>
        <w:ind w:left="0" w:right="0" w:firstLine="740"/>
        <w:jc w:val="left"/>
      </w:pPr>
      <w:r>
        <w:rPr>
          <w:rStyle w:val="CharStyle3"/>
        </w:rPr>
        <w:t>sąd drugiej instancji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74" w:val="left"/>
        </w:tabs>
        <w:bidi w:val="0"/>
        <w:spacing w:before="0" w:line="254" w:lineRule="auto"/>
        <w:ind w:left="760" w:right="0" w:hanging="340"/>
        <w:jc w:val="left"/>
      </w:pPr>
      <w:r>
        <w:rPr>
          <w:rStyle w:val="CharStyle3"/>
        </w:rPr>
        <w:t>Zgodnie z Kodeksem postępowania cywilnego uzasadnienie wyroku na piśmie z urzędu sporządza się gdy: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088" w:val="left"/>
        </w:tabs>
        <w:bidi w:val="0"/>
        <w:spacing w:before="0" w:line="240" w:lineRule="auto"/>
        <w:ind w:left="1060" w:right="0" w:hanging="340"/>
        <w:jc w:val="left"/>
      </w:pPr>
      <w:r>
        <w:rPr>
          <w:rStyle w:val="CharStyle3"/>
        </w:rPr>
        <w:t>wyrok uwzględniający powództwo wydano na posiedzeniu niejawnym wobec pozwanego odbywającego karę pozbawienia wolności w zakładzie karnym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107" w:val="left"/>
        </w:tabs>
        <w:bidi w:val="0"/>
        <w:spacing w:before="0" w:line="240" w:lineRule="auto"/>
        <w:ind w:left="1060" w:right="0" w:hanging="340"/>
        <w:jc w:val="left"/>
      </w:pPr>
      <w:r>
        <w:rPr>
          <w:rStyle w:val="CharStyle3"/>
        </w:rPr>
        <w:t>wyrok oddalający powództwo z uwagi na jego oczywistą bezzasadność wydano na posiedzeniu niejawnym</w:t>
      </w:r>
    </w:p>
    <w:p>
      <w:pPr>
        <w:pStyle w:val="Style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053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wyrok oddalający apelację wydano na posiedzeniu niejawnym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38" w:val="left"/>
        </w:tabs>
        <w:bidi w:val="0"/>
        <w:spacing w:before="0" w:line="257" w:lineRule="auto"/>
        <w:ind w:left="0" w:right="0" w:firstLine="380"/>
        <w:jc w:val="left"/>
      </w:pPr>
      <w:r>
        <w:rPr>
          <w:rStyle w:val="CharStyle3"/>
        </w:rPr>
        <w:t>Pełnomocnikiem procesowym osoby fizycznej może być między innymi:</w:t>
      </w:r>
    </w:p>
    <w:p>
      <w:pPr>
        <w:pStyle w:val="Style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1048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małżonek</w:t>
      </w:r>
    </w:p>
    <w:p>
      <w:pPr>
        <w:pStyle w:val="Style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1062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bratanek</w:t>
      </w:r>
    </w:p>
    <w:p>
      <w:pPr>
        <w:pStyle w:val="Style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1048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szwagier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69" w:val="left"/>
        </w:tabs>
        <w:bidi w:val="0"/>
        <w:spacing w:before="0" w:line="264" w:lineRule="auto"/>
        <w:ind w:left="760" w:right="0" w:hanging="340"/>
        <w:jc w:val="left"/>
      </w:pPr>
      <w:r>
        <w:rPr>
          <w:rStyle w:val="CharStyle3"/>
        </w:rPr>
        <w:t>upływ terminu przedawnienia roszczenia wynikającego z umowy w sprawach przeciwko konsumentowi: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048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sąd bada tylko na zarzut pozwanego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067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sąd bada z urzędu</w:t>
      </w:r>
    </w:p>
    <w:p>
      <w:pPr>
        <w:pStyle w:val="Style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053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sąd bada tylko na zarzut pozwanego zgłoszony przed wdaniem się w spór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34" w:val="left"/>
        </w:tabs>
        <w:bidi w:val="0"/>
        <w:spacing w:before="0" w:line="257" w:lineRule="auto"/>
        <w:ind w:left="0" w:right="0" w:firstLine="380"/>
        <w:jc w:val="left"/>
      </w:pPr>
      <w:r>
        <w:rPr>
          <w:rStyle w:val="CharStyle3"/>
        </w:rPr>
        <w:t>z chwilą doręczenia pozwu:</w:t>
      </w:r>
    </w:p>
    <w:p>
      <w:pPr>
        <w:pStyle w:val="Style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1093" w:val="left"/>
        </w:tabs>
        <w:bidi w:val="0"/>
        <w:spacing w:before="0"/>
        <w:ind w:left="1060" w:right="0" w:hanging="340"/>
        <w:jc w:val="left"/>
      </w:pPr>
      <w:r>
        <w:rPr>
          <w:rStyle w:val="CharStyle3"/>
        </w:rPr>
        <w:t>zbycie w toku sprawy rzeczy lub prawa, objętych sporem, nie ma wpływu na dalszy bieg sprawy; nabywca może jednak wejść na miejsce zbywcy za zezwoleniem strony przeciwnej</w:t>
      </w:r>
    </w:p>
    <w:p>
      <w:pPr>
        <w:pStyle w:val="Style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1107" w:val="left"/>
        </w:tabs>
        <w:bidi w:val="0"/>
        <w:spacing w:before="0" w:line="259" w:lineRule="auto"/>
        <w:ind w:left="1060" w:right="0" w:hanging="340"/>
        <w:jc w:val="left"/>
      </w:pPr>
      <w:r>
        <w:rPr>
          <w:rStyle w:val="CharStyle3"/>
        </w:rPr>
        <w:t>zbycie w toku sprawy rzeczy lub prawa, objętych sporem, nie ma wpływu na dalszy bieg sprawy; nabywca nie może wejść na miejsce zbywcy nawet za zezwoleniem strony przeciwnej</w:t>
      </w:r>
    </w:p>
    <w:p>
      <w:pPr>
        <w:pStyle w:val="Style2"/>
        <w:keepNext w:val="0"/>
        <w:keepLines w:val="0"/>
        <w:widowControl w:val="0"/>
        <w:numPr>
          <w:ilvl w:val="0"/>
          <w:numId w:val="19"/>
        </w:numPr>
        <w:shd w:val="clear" w:color="auto" w:fill="auto"/>
        <w:tabs>
          <w:tab w:pos="1053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zbycie w toku sprawy rzeczy lub prawa, objętych sporem nie jest dopuszczalne.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39" w:val="left"/>
        </w:tabs>
        <w:bidi w:val="0"/>
        <w:spacing w:before="0" w:line="257" w:lineRule="auto"/>
        <w:ind w:left="0" w:right="0" w:firstLine="380"/>
        <w:jc w:val="left"/>
      </w:pPr>
      <w:r>
        <w:rPr>
          <w:rStyle w:val="CharStyle3"/>
        </w:rPr>
        <w:t>Ograniczoną zdolność do czynności prawnych mają:</w:t>
      </w:r>
    </w:p>
    <w:p>
      <w:pPr>
        <w:pStyle w:val="Style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048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małoletni, którzy nie ukończyli 13 lat</w:t>
      </w:r>
    </w:p>
    <w:p>
      <w:pPr>
        <w:pStyle w:val="Style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067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małoletni, którzy ukończyli 13 lat</w:t>
      </w:r>
    </w:p>
    <w:p>
      <w:pPr>
        <w:pStyle w:val="Style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053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osoby całkowicie ubezwłasnowolnione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879" w:val="left"/>
        </w:tabs>
        <w:bidi w:val="0"/>
        <w:spacing w:before="0" w:line="240" w:lineRule="auto"/>
        <w:ind w:left="760" w:right="0" w:hanging="340"/>
        <w:jc w:val="left"/>
      </w:pPr>
      <w:r>
        <w:rPr>
          <w:rStyle w:val="CharStyle3"/>
        </w:rPr>
        <w:t>umowa pożyczki wymaga zachowania formy dokumentowej, jeżeli jej wartość przekracza:</w:t>
      </w:r>
    </w:p>
    <w:p>
      <w:pPr>
        <w:pStyle w:val="Style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48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500 zł</w:t>
      </w:r>
    </w:p>
    <w:p>
      <w:pPr>
        <w:pStyle w:val="Style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72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1000 zł</w:t>
      </w:r>
    </w:p>
    <w:p>
      <w:pPr>
        <w:pStyle w:val="Style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53" w:val="left"/>
        </w:tabs>
        <w:bidi w:val="0"/>
        <w:spacing w:before="0" w:line="257" w:lineRule="auto"/>
        <w:ind w:left="0" w:right="0" w:firstLine="680"/>
        <w:jc w:val="left"/>
      </w:pPr>
      <w:r>
        <w:rPr>
          <w:rStyle w:val="CharStyle3"/>
        </w:rPr>
        <w:t>2000 zł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719" w:val="left"/>
        </w:tabs>
        <w:bidi w:val="0"/>
        <w:spacing w:before="0" w:line="271" w:lineRule="auto"/>
        <w:ind w:left="600" w:right="0" w:hanging="340"/>
        <w:jc w:val="both"/>
      </w:pPr>
      <w:r>
        <w:rPr>
          <w:rStyle w:val="CharStyle3"/>
        </w:rPr>
        <w:t>Posiadacz nieruchomości niebędący jej właścicielem nabywa własność, jeżeli posiada nieruchomość nieprzerwanie w dobrej wierze jako posiadacz samoistny:</w:t>
      </w:r>
    </w:p>
    <w:p>
      <w:pPr>
        <w:pStyle w:val="Style2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908" w:val="left"/>
        </w:tabs>
        <w:bidi w:val="0"/>
        <w:spacing w:before="0" w:line="269" w:lineRule="auto"/>
        <w:ind w:left="0" w:right="0" w:firstLine="540"/>
        <w:jc w:val="both"/>
      </w:pPr>
      <w:r>
        <w:rPr>
          <w:rStyle w:val="CharStyle3"/>
        </w:rPr>
        <w:t>od 10 lat</w:t>
      </w:r>
    </w:p>
    <w:p>
      <w:pPr>
        <w:pStyle w:val="Style2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927" w:val="left"/>
        </w:tabs>
        <w:bidi w:val="0"/>
        <w:spacing w:before="0" w:line="269" w:lineRule="auto"/>
        <w:ind w:left="0" w:right="0" w:firstLine="540"/>
        <w:jc w:val="both"/>
      </w:pPr>
      <w:r>
        <w:rPr>
          <w:rStyle w:val="CharStyle3"/>
        </w:rPr>
        <w:t>od 20 lat</w:t>
      </w:r>
    </w:p>
    <w:p>
      <w:pPr>
        <w:pStyle w:val="Style2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913" w:val="left"/>
        </w:tabs>
        <w:bidi w:val="0"/>
        <w:spacing w:before="0" w:after="580" w:line="269" w:lineRule="auto"/>
        <w:ind w:left="0" w:right="0" w:firstLine="540"/>
        <w:jc w:val="both"/>
      </w:pPr>
      <w:r>
        <w:rPr>
          <w:rStyle w:val="CharStyle3"/>
        </w:rPr>
        <w:t>od 30 lat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674" w:val="left"/>
        </w:tabs>
        <w:bidi w:val="0"/>
        <w:spacing w:before="0" w:line="269" w:lineRule="auto"/>
        <w:ind w:left="0" w:right="0" w:firstLine="220"/>
        <w:jc w:val="both"/>
      </w:pPr>
      <w:r>
        <w:rPr>
          <w:rStyle w:val="CharStyle3"/>
        </w:rPr>
        <w:t>ograniczonym prawem rzeczowym nie jest:</w:t>
      </w:r>
    </w:p>
    <w:p>
      <w:pPr>
        <w:pStyle w:val="Style2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908" w:val="left"/>
        </w:tabs>
        <w:bidi w:val="0"/>
        <w:spacing w:before="0" w:line="269" w:lineRule="auto"/>
        <w:ind w:left="0" w:right="0" w:firstLine="540"/>
        <w:jc w:val="both"/>
      </w:pPr>
      <w:r>
        <w:rPr>
          <w:rStyle w:val="CharStyle3"/>
        </w:rPr>
        <w:t>użytkowanie wieczyste</w:t>
      </w:r>
    </w:p>
    <w:p>
      <w:pPr>
        <w:pStyle w:val="Style2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922" w:val="left"/>
        </w:tabs>
        <w:bidi w:val="0"/>
        <w:spacing w:before="0" w:line="269" w:lineRule="auto"/>
        <w:ind w:left="0" w:right="0" w:firstLine="540"/>
        <w:jc w:val="both"/>
      </w:pPr>
      <w:r>
        <w:rPr>
          <w:rStyle w:val="CharStyle3"/>
        </w:rPr>
        <w:t>hipoteka</w:t>
      </w:r>
    </w:p>
    <w:p>
      <w:pPr>
        <w:pStyle w:val="Style2"/>
        <w:keepNext w:val="0"/>
        <w:keepLines w:val="0"/>
        <w:widowControl w:val="0"/>
        <w:numPr>
          <w:ilvl w:val="0"/>
          <w:numId w:val="27"/>
        </w:numPr>
        <w:shd w:val="clear" w:color="auto" w:fill="auto"/>
        <w:tabs>
          <w:tab w:pos="913" w:val="left"/>
        </w:tabs>
        <w:bidi w:val="0"/>
        <w:spacing w:before="0" w:after="580" w:line="269" w:lineRule="auto"/>
        <w:ind w:left="0" w:right="0" w:firstLine="540"/>
        <w:jc w:val="both"/>
      </w:pPr>
      <w:r>
        <w:rPr>
          <w:rStyle w:val="CharStyle3"/>
        </w:rPr>
        <w:t>służebność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594" w:val="left"/>
        </w:tabs>
        <w:bidi w:val="0"/>
        <w:spacing w:before="0" w:line="269" w:lineRule="auto"/>
        <w:ind w:left="0" w:right="0" w:firstLine="140"/>
        <w:jc w:val="both"/>
      </w:pPr>
      <w:r>
        <w:rPr>
          <w:rStyle w:val="CharStyle3"/>
        </w:rPr>
        <w:t>Do majątku osobistego małżonka należy:</w:t>
      </w:r>
    </w:p>
    <w:p>
      <w:pPr>
        <w:pStyle w:val="Style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508" w:val="left"/>
        </w:tabs>
        <w:bidi w:val="0"/>
        <w:spacing w:before="0" w:line="269" w:lineRule="auto"/>
        <w:ind w:left="0" w:right="0" w:firstLine="140"/>
        <w:jc w:val="left"/>
      </w:pPr>
      <w:r>
        <w:rPr>
          <w:rStyle w:val="CharStyle3"/>
        </w:rPr>
        <w:t>wierzytelność z tytułu wynagrodzenia za pracę</w:t>
      </w:r>
    </w:p>
    <w:p>
      <w:pPr>
        <w:pStyle w:val="Style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522" w:val="left"/>
        </w:tabs>
        <w:bidi w:val="0"/>
        <w:spacing w:before="0" w:line="269" w:lineRule="auto"/>
        <w:ind w:left="0" w:right="0" w:firstLine="140"/>
        <w:jc w:val="left"/>
      </w:pPr>
      <w:r>
        <w:rPr>
          <w:rStyle w:val="CharStyle3"/>
        </w:rPr>
        <w:t>dochody z przedsiębiorstwa należącego do majątku osobistego jednego z małżonków</w:t>
      </w:r>
    </w:p>
    <w:p>
      <w:pPr>
        <w:pStyle w:val="Style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577" w:val="left"/>
        </w:tabs>
        <w:bidi w:val="0"/>
        <w:spacing w:before="0" w:after="580" w:line="266" w:lineRule="auto"/>
        <w:ind w:left="140" w:right="0" w:firstLine="0"/>
        <w:jc w:val="left"/>
      </w:pPr>
      <w:r>
        <w:rPr>
          <w:rStyle w:val="CharStyle3"/>
        </w:rPr>
        <w:t>pralka używana przez rodziną nabyta za pieniądze otrzymane z nagrody za osobiste osiągnięcia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679" w:val="left"/>
        </w:tabs>
        <w:bidi w:val="0"/>
        <w:spacing w:before="0" w:line="269" w:lineRule="auto"/>
        <w:ind w:left="0" w:right="0" w:firstLine="220"/>
        <w:jc w:val="both"/>
      </w:pPr>
      <w:r>
        <w:rPr>
          <w:rStyle w:val="CharStyle3"/>
        </w:rPr>
        <w:t>Złożenie wniosku o zawezwanie do próby ugodowej:</w:t>
      </w:r>
    </w:p>
    <w:p>
      <w:pPr>
        <w:pStyle w:val="Style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583" w:val="left"/>
        </w:tabs>
        <w:bidi w:val="0"/>
        <w:spacing w:before="0" w:line="269" w:lineRule="auto"/>
        <w:ind w:left="0" w:right="0" w:firstLine="220"/>
        <w:jc w:val="both"/>
      </w:pPr>
      <w:r>
        <w:rPr>
          <w:rStyle w:val="CharStyle3"/>
        </w:rPr>
        <w:t>przerywa bieg przedawnienia</w:t>
      </w:r>
    </w:p>
    <w:p>
      <w:pPr>
        <w:pStyle w:val="Style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602" w:val="left"/>
        </w:tabs>
        <w:bidi w:val="0"/>
        <w:spacing w:before="0" w:line="269" w:lineRule="auto"/>
        <w:ind w:left="0" w:right="0" w:firstLine="220"/>
        <w:jc w:val="both"/>
      </w:pPr>
      <w:r>
        <w:rPr>
          <w:rStyle w:val="CharStyle3"/>
        </w:rPr>
        <w:t>zawiesza bieg przedawnienia</w:t>
      </w:r>
    </w:p>
    <w:p>
      <w:pPr>
        <w:pStyle w:val="Style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588" w:val="left"/>
        </w:tabs>
        <w:bidi w:val="0"/>
        <w:spacing w:before="0" w:after="1060" w:line="269" w:lineRule="auto"/>
        <w:ind w:left="0" w:right="0" w:firstLine="220"/>
        <w:jc w:val="both"/>
      </w:pPr>
      <w:r>
        <w:rPr>
          <w:rStyle w:val="CharStyle3"/>
        </w:rPr>
        <w:t>wstrzymuje bieg przedawnienia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679" w:val="left"/>
        </w:tabs>
        <w:bidi w:val="0"/>
        <w:spacing w:before="0" w:line="240" w:lineRule="auto"/>
        <w:ind w:left="0" w:right="0" w:firstLine="220"/>
        <w:jc w:val="both"/>
      </w:pPr>
      <w:r>
        <w:rPr>
          <w:rStyle w:val="CharStyle3"/>
        </w:rPr>
        <w:t>W postępowaniu egzekucyjnym dopuszcza się złożenie przez stronę skargi:</w:t>
      </w:r>
    </w:p>
    <w:p>
      <w:pPr>
        <w:pStyle w:val="Style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588" w:val="left"/>
        </w:tabs>
        <w:bidi w:val="0"/>
        <w:spacing w:before="0" w:line="240" w:lineRule="auto"/>
        <w:ind w:left="0" w:right="0" w:firstLine="220"/>
        <w:jc w:val="both"/>
      </w:pPr>
      <w:r>
        <w:rPr>
          <w:rStyle w:val="CharStyle3"/>
        </w:rPr>
        <w:t>na każdą czynność komornika</w:t>
      </w:r>
    </w:p>
    <w:p>
      <w:pPr>
        <w:pStyle w:val="Style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602" w:val="left"/>
        </w:tabs>
        <w:bidi w:val="0"/>
        <w:spacing w:before="0" w:line="240" w:lineRule="auto"/>
        <w:ind w:left="0" w:right="0" w:firstLine="220"/>
        <w:jc w:val="both"/>
      </w:pPr>
      <w:r>
        <w:rPr>
          <w:rStyle w:val="CharStyle3"/>
        </w:rPr>
        <w:t>na czynność komornika jeśli przepis tak wskazuje</w:t>
      </w:r>
    </w:p>
    <w:p>
      <w:pPr>
        <w:pStyle w:val="Style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588" w:val="left"/>
        </w:tabs>
        <w:bidi w:val="0"/>
        <w:spacing w:before="0" w:line="240" w:lineRule="auto"/>
        <w:ind w:left="0" w:right="0" w:firstLine="220"/>
        <w:jc w:val="both"/>
        <w:sectPr>
          <w:footerReference w:type="default" r:id="rId5"/>
          <w:footerReference w:type="even" r:id="rId6"/>
          <w:footnotePr>
            <w:pos w:val="pageBottom"/>
            <w:numFmt w:val="decimal"/>
            <w:numRestart w:val="continuous"/>
          </w:footnotePr>
          <w:pgSz w:w="11900" w:h="16840"/>
          <w:pgMar w:top="1356" w:right="1434" w:bottom="1888" w:left="1293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rStyle w:val="CharStyle3"/>
        </w:rPr>
        <w:t>na każdą czynność komornika, chyba że przepis to wyklucza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42" w:val="left"/>
        </w:tabs>
        <w:bidi w:val="0"/>
        <w:spacing w:before="0" w:after="160" w:line="283" w:lineRule="auto"/>
        <w:ind w:left="0" w:right="0" w:firstLine="380"/>
        <w:jc w:val="both"/>
      </w:pPr>
      <w:r>
        <w:rPr>
          <w:rStyle w:val="CharStyle3"/>
        </w:rPr>
        <w:t>Zgodnie z KRO, żadne z rodziców nie może reprezentować dziecka: a) przy czynnościach prawnych między dziećmi pozostającymi pod ich władzą rodzicielską</w:t>
      </w:r>
    </w:p>
    <w:p>
      <w:pPr>
        <w:pStyle w:val="Style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382" w:val="left"/>
        </w:tabs>
        <w:bidi w:val="0"/>
        <w:spacing w:before="0" w:after="160" w:line="288" w:lineRule="auto"/>
        <w:ind w:left="0" w:right="0" w:firstLine="0"/>
        <w:jc w:val="both"/>
      </w:pPr>
      <w:r>
        <w:rPr>
          <w:rStyle w:val="CharStyle3"/>
        </w:rPr>
        <w:t>przy czynnościach prawnych między dzieckiem a jednym z rodziców, gdy polegają one na bezpłatnym przysporzeniu na rzecz dziecka</w:t>
      </w:r>
    </w:p>
    <w:p>
      <w:pPr>
        <w:pStyle w:val="Style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368" w:val="left"/>
        </w:tabs>
        <w:bidi w:val="0"/>
        <w:spacing w:before="0" w:after="620" w:line="288" w:lineRule="auto"/>
        <w:ind w:left="0" w:right="0" w:firstLine="0"/>
        <w:jc w:val="both"/>
      </w:pPr>
      <w:r>
        <w:rPr>
          <w:rStyle w:val="CharStyle3"/>
        </w:rPr>
        <w:t>przy czynnościach prawnych dotyczących należnych dziecku od drugiego z rodziców środków utrzymania i wychowania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89" w:val="left"/>
        </w:tabs>
        <w:bidi w:val="0"/>
        <w:spacing w:before="0" w:after="0" w:line="360" w:lineRule="auto"/>
        <w:ind w:left="0" w:right="0" w:firstLine="740"/>
        <w:jc w:val="left"/>
      </w:pPr>
      <w:r>
        <w:rPr>
          <w:rStyle w:val="CharStyle3"/>
        </w:rPr>
        <w:t>Ustalenia co do popełnienia przestępstwa wiążą sąd w postępowaniu cywilnym w przypadku wydanego w postępowaniu karnym wyroku:</w:t>
      </w:r>
    </w:p>
    <w:p>
      <w:pPr>
        <w:pStyle w:val="Style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368" w:val="left"/>
        </w:tabs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</w:rPr>
        <w:t>prawomocnie umarzającego postępowanie z uwagi na znikomy stopień społecznej szkodliwości czynu</w:t>
      </w:r>
    </w:p>
    <w:p>
      <w:pPr>
        <w:pStyle w:val="Style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382" w:val="left"/>
        </w:tabs>
        <w:bidi w:val="0"/>
        <w:spacing w:before="0" w:after="0" w:line="360" w:lineRule="auto"/>
        <w:ind w:left="0" w:right="0" w:firstLine="0"/>
        <w:jc w:val="left"/>
      </w:pPr>
      <w:r>
        <w:rPr>
          <w:rStyle w:val="CharStyle3"/>
        </w:rPr>
        <w:t>prawomocnie skazującego</w:t>
      </w:r>
    </w:p>
    <w:p>
      <w:pPr>
        <w:pStyle w:val="Style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363" w:val="left"/>
        </w:tabs>
        <w:bidi w:val="0"/>
        <w:spacing w:before="0" w:after="620" w:line="360" w:lineRule="auto"/>
        <w:ind w:left="0" w:right="0" w:firstLine="0"/>
        <w:jc w:val="left"/>
      </w:pPr>
      <w:r>
        <w:rPr>
          <w:rStyle w:val="CharStyle3"/>
        </w:rPr>
        <w:t>prawomocnie uniewinniającego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5" w:val="left"/>
        </w:tabs>
        <w:bidi w:val="0"/>
        <w:spacing w:before="0" w:after="160" w:line="271" w:lineRule="auto"/>
        <w:ind w:left="0" w:right="0" w:firstLine="0"/>
        <w:jc w:val="both"/>
      </w:pPr>
      <w:r>
        <w:rPr>
          <w:rStyle w:val="CharStyle3"/>
        </w:rPr>
        <w:t>W jakich częściach dziedziczyć będą, na podstawie ustawy spadkobiercy, jeśli spadkodawca pozostawił żonę i 4 dzieci</w:t>
      </w:r>
    </w:p>
    <w:p>
      <w:pPr>
        <w:pStyle w:val="Style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723" w:val="left"/>
        </w:tabs>
        <w:bidi w:val="0"/>
        <w:spacing w:before="0" w:after="60" w:line="360" w:lineRule="auto"/>
        <w:ind w:left="0" w:right="0" w:firstLine="360"/>
        <w:jc w:val="left"/>
      </w:pPr>
      <w:r>
        <w:rPr>
          <w:rStyle w:val="CharStyle3"/>
        </w:rPr>
        <w:t>po 1/5 części każdy z nich</w:t>
      </w:r>
    </w:p>
    <w:p>
      <w:pPr>
        <w:pStyle w:val="Style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742" w:val="left"/>
        </w:tabs>
        <w:bidi w:val="0"/>
        <w:spacing w:before="0" w:after="60" w:line="360" w:lineRule="auto"/>
        <w:ind w:left="0" w:right="0" w:firstLine="360"/>
        <w:jc w:val="left"/>
      </w:pPr>
      <w:r>
        <w:rPr>
          <w:rStyle w:val="CharStyle3"/>
        </w:rPr>
        <w:t>żona % części a dzieci po 3/16 części</w:t>
      </w:r>
    </w:p>
    <w:p>
      <w:pPr>
        <w:pStyle w:val="Style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723" w:val="left"/>
        </w:tabs>
        <w:bidi w:val="0"/>
        <w:spacing w:before="0" w:after="520" w:line="360" w:lineRule="auto"/>
        <w:ind w:left="0" w:right="0" w:firstLine="360"/>
        <w:jc w:val="left"/>
      </w:pPr>
      <w:r>
        <w:rPr>
          <w:rStyle w:val="CharStyle3"/>
        </w:rPr>
        <w:t>żona !4 części a dzieci po 1/8 części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after="60" w:line="360" w:lineRule="auto"/>
        <w:ind w:left="0" w:right="0" w:firstLine="0"/>
        <w:jc w:val="left"/>
      </w:pPr>
      <w:r>
        <w:rPr>
          <w:rStyle w:val="CharStyle3"/>
        </w:rPr>
        <w:t>Który testament jest ważny:</w:t>
      </w:r>
    </w:p>
    <w:p>
      <w:pPr>
        <w:pStyle w:val="Style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728" w:val="left"/>
        </w:tabs>
        <w:bidi w:val="0"/>
        <w:spacing w:before="0" w:after="60" w:line="360" w:lineRule="auto"/>
        <w:ind w:left="0" w:right="0" w:firstLine="360"/>
        <w:jc w:val="left"/>
      </w:pPr>
      <w:r>
        <w:rPr>
          <w:rStyle w:val="CharStyle3"/>
        </w:rPr>
        <w:t>sporządzony wspólnie przez małżonków i przez nich własnoręcznie podpisany</w:t>
      </w:r>
    </w:p>
    <w:p>
      <w:pPr>
        <w:pStyle w:val="Style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742" w:val="left"/>
        </w:tabs>
        <w:bidi w:val="0"/>
        <w:spacing w:before="0" w:after="60" w:line="360" w:lineRule="auto"/>
        <w:ind w:left="0" w:right="0" w:firstLine="360"/>
        <w:jc w:val="left"/>
      </w:pPr>
      <w:r>
        <w:rPr>
          <w:rStyle w:val="CharStyle3"/>
        </w:rPr>
        <w:t>sporządzony pismem maszynowym i własnoręcznie podpisany przed spadkodawcę</w:t>
      </w:r>
    </w:p>
    <w:p>
      <w:pPr>
        <w:pStyle w:val="Style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728" w:val="left"/>
        </w:tabs>
        <w:bidi w:val="0"/>
        <w:spacing w:before="0" w:after="520" w:line="360" w:lineRule="auto"/>
        <w:ind w:left="0" w:right="0" w:firstLine="360"/>
        <w:jc w:val="left"/>
      </w:pPr>
      <w:r>
        <w:rPr>
          <w:rStyle w:val="CharStyle3"/>
        </w:rPr>
        <w:t>nie opatrzony datą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4" w:val="left"/>
        </w:tabs>
        <w:bidi w:val="0"/>
        <w:spacing w:before="0" w:after="60" w:line="360" w:lineRule="auto"/>
        <w:ind w:left="0" w:right="0" w:firstLine="0"/>
        <w:jc w:val="left"/>
      </w:pPr>
      <w:r>
        <w:rPr>
          <w:rStyle w:val="CharStyle3"/>
        </w:rPr>
        <w:t>sprawą gospodarczą nie jest sprawa:</w:t>
      </w:r>
    </w:p>
    <w:p>
      <w:pPr>
        <w:pStyle w:val="Style2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pos="368" w:val="left"/>
        </w:tabs>
        <w:bidi w:val="0"/>
        <w:spacing w:before="0" w:after="60" w:line="360" w:lineRule="auto"/>
        <w:ind w:left="0" w:right="0" w:firstLine="0"/>
        <w:jc w:val="left"/>
      </w:pPr>
      <w:r>
        <w:rPr>
          <w:rStyle w:val="CharStyle3"/>
        </w:rPr>
        <w:t>z umowy leasingu</w:t>
      </w:r>
    </w:p>
    <w:p>
      <w:pPr>
        <w:pStyle w:val="Style2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pos="382" w:val="left"/>
          <w:tab w:pos="354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przeciwko poręczycielowi</w:t>
        <w:tab/>
        <w:t>niepro wadzącemu działalności gospodarczej, gdy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rStyle w:val="CharStyle3"/>
        </w:rPr>
        <w:t>pożyczkobiorcą i pożyczkodawcą jest przedsiębiorca</w:t>
      </w:r>
    </w:p>
    <w:p>
      <w:pPr>
        <w:pStyle w:val="Style2"/>
        <w:keepNext w:val="0"/>
        <w:keepLines w:val="0"/>
        <w:widowControl w:val="0"/>
        <w:numPr>
          <w:ilvl w:val="0"/>
          <w:numId w:val="43"/>
        </w:numPr>
        <w:shd w:val="clear" w:color="auto" w:fill="auto"/>
        <w:tabs>
          <w:tab w:pos="368" w:val="left"/>
        </w:tabs>
        <w:bidi w:val="0"/>
        <w:spacing w:before="0" w:after="160" w:line="360" w:lineRule="auto"/>
        <w:ind w:left="0" w:right="0" w:firstLine="0"/>
        <w:jc w:val="left"/>
      </w:pPr>
      <w:r>
        <w:rPr>
          <w:rStyle w:val="CharStyle3"/>
        </w:rPr>
        <w:t>o wierzytelność nabytą od osoby nie będącej przedsiębiorcą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Nie stanowi przestępstwa:</w:t>
      </w:r>
    </w:p>
    <w:p>
      <w:pPr>
        <w:pStyle w:val="Style2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36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czyn zabroniony, którego społeczna szkodliwość nie jest znaczna</w:t>
      </w:r>
    </w:p>
    <w:p>
      <w:pPr>
        <w:pStyle w:val="Style2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387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czyn zabroniony, którego stopień społecznego niebezpieczeństwa jest znikomy</w:t>
      </w:r>
    </w:p>
    <w:p>
      <w:pPr>
        <w:pStyle w:val="Style2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368" w:val="left"/>
        </w:tabs>
        <w:bidi w:val="0"/>
        <w:spacing w:before="0" w:after="620"/>
        <w:ind w:left="0" w:right="0" w:firstLine="0"/>
        <w:jc w:val="left"/>
      </w:pPr>
      <w:r>
        <w:rPr>
          <w:rStyle w:val="CharStyle3"/>
        </w:rPr>
        <w:t>czyn zabroniony, którego stopień społecznej szkodliwości jest znikomy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Zbrodnią jest czyn zabroniony zagrożony:</w:t>
      </w:r>
    </w:p>
    <w:p>
      <w:pPr>
        <w:pStyle w:val="Style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373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karą pozbawienia wolności</w:t>
      </w:r>
    </w:p>
    <w:p>
      <w:pPr>
        <w:pStyle w:val="Style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387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karą pozbawienia wolności na czas nie krótszy niż 5 lat</w:t>
      </w:r>
    </w:p>
    <w:p>
      <w:pPr>
        <w:pStyle w:val="Style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368" w:val="left"/>
        </w:tabs>
        <w:bidi w:val="0"/>
        <w:spacing w:before="0" w:after="560"/>
        <w:ind w:left="0" w:right="0" w:firstLine="0"/>
        <w:jc w:val="left"/>
      </w:pPr>
      <w:r>
        <w:rPr>
          <w:rStyle w:val="CharStyle3"/>
        </w:rPr>
        <w:t>karą pozbawienia wolności na czas nie krótszy od lat 3 albo karą surowszą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Występek można popełnić:</w:t>
      </w:r>
    </w:p>
    <w:p>
      <w:pPr>
        <w:pStyle w:val="Style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36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umyślnie i nieumyślnie</w:t>
      </w:r>
    </w:p>
    <w:p>
      <w:pPr>
        <w:pStyle w:val="Style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387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tylko nieumyślnie</w:t>
      </w:r>
    </w:p>
    <w:p>
      <w:pPr>
        <w:pStyle w:val="Style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373" w:val="left"/>
        </w:tabs>
        <w:bidi w:val="0"/>
        <w:spacing w:before="0" w:after="620"/>
        <w:ind w:left="0" w:right="0" w:firstLine="0"/>
        <w:jc w:val="left"/>
      </w:pPr>
      <w:r>
        <w:rPr>
          <w:rStyle w:val="CharStyle3"/>
        </w:rPr>
        <w:t>także nieumyślnie, jeżeli ustawa tak stanowi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20" w:line="266" w:lineRule="auto"/>
        <w:ind w:left="0" w:right="0" w:firstLine="0"/>
        <w:jc w:val="left"/>
      </w:pPr>
      <w:r>
        <w:rPr>
          <w:rStyle w:val="CharStyle3"/>
        </w:rPr>
        <w:t>Dwa lub więcej zachowań, podjętych w krótkich odstępach czasu w wykonaniu z góry powziętego zamiaru uważa się:</w:t>
      </w:r>
    </w:p>
    <w:p>
      <w:pPr>
        <w:pStyle w:val="Style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36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za jeden czyn zabroniony</w:t>
      </w:r>
    </w:p>
    <w:p>
      <w:pPr>
        <w:pStyle w:val="Style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387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za dwa lub więcej czynów zabronionych</w:t>
      </w:r>
    </w:p>
    <w:p>
      <w:pPr>
        <w:pStyle w:val="Style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373" w:val="left"/>
        </w:tabs>
        <w:bidi w:val="0"/>
        <w:spacing w:before="0" w:after="620" w:line="254" w:lineRule="auto"/>
        <w:ind w:left="0" w:right="0" w:firstLine="0"/>
        <w:jc w:val="left"/>
      </w:pPr>
      <w:r>
        <w:rPr>
          <w:rStyle w:val="CharStyle3"/>
        </w:rPr>
        <w:t>za jeden czyn zabroniony, ajeżeli przedmiotem zamachu jest dobro osobiste, warunkiem uznania wielości zachowań za jeden czyn zabroniony jest tożsamość pokrzywdzonego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Nawiązkajest:</w:t>
      </w:r>
    </w:p>
    <w:p>
      <w:pPr>
        <w:pStyle w:val="Style2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pos="36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środkiem karnym</w:t>
      </w:r>
    </w:p>
    <w:p>
      <w:pPr>
        <w:pStyle w:val="Style2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pos="387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środkiem kompensacyjnym</w:t>
      </w:r>
    </w:p>
    <w:p>
      <w:pPr>
        <w:pStyle w:val="Style2"/>
        <w:keepNext w:val="0"/>
        <w:keepLines w:val="0"/>
        <w:widowControl w:val="0"/>
        <w:numPr>
          <w:ilvl w:val="0"/>
          <w:numId w:val="53"/>
        </w:numPr>
        <w:shd w:val="clear" w:color="auto" w:fill="auto"/>
        <w:tabs>
          <w:tab w:pos="368" w:val="left"/>
        </w:tabs>
        <w:bidi w:val="0"/>
        <w:spacing w:before="0" w:after="560"/>
        <w:ind w:left="0" w:right="0" w:firstLine="0"/>
        <w:jc w:val="left"/>
      </w:pPr>
      <w:r>
        <w:rPr>
          <w:rStyle w:val="CharStyle3"/>
        </w:rPr>
        <w:t>środkiem zabezpieczającym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Tymczasowe aresztowanie jest:</w:t>
      </w:r>
    </w:p>
    <w:p>
      <w:pPr>
        <w:pStyle w:val="Style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6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środkiem zapobiegawczy;</w:t>
      </w:r>
    </w:p>
    <w:p>
      <w:pPr>
        <w:pStyle w:val="Style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87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środkiem zabezpieczającym</w:t>
      </w:r>
    </w:p>
    <w:p>
      <w:pPr>
        <w:pStyle w:val="Style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368" w:val="left"/>
        </w:tabs>
        <w:bidi w:val="0"/>
        <w:spacing w:before="0" w:after="120"/>
        <w:ind w:left="0" w:right="0" w:firstLine="0"/>
        <w:jc w:val="left"/>
      </w:pPr>
      <w:r>
        <w:rPr>
          <w:rStyle w:val="CharStyle3"/>
        </w:rPr>
        <w:t>środkiem karnym.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4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Przewód sądowy rozpoczyna się z chwilą:</w:t>
      </w:r>
    </w:p>
    <w:p>
      <w:pPr>
        <w:pStyle w:val="Style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363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wywołania sprawy przez sekretarza sądowego</w:t>
      </w:r>
    </w:p>
    <w:p>
      <w:pPr>
        <w:pStyle w:val="Style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382" w:val="left"/>
        </w:tabs>
        <w:bidi w:val="0"/>
        <w:spacing w:before="0" w:line="276" w:lineRule="auto"/>
        <w:ind w:left="0" w:right="0" w:firstLine="0"/>
        <w:jc w:val="left"/>
      </w:pPr>
      <w:r>
        <w:rPr>
          <w:rStyle w:val="CharStyle3"/>
        </w:rPr>
        <w:t>zwięzłego przedstawienia zarzutów oskarżenia przez oskarżyciela lub przez przewodniczącego</w:t>
      </w:r>
    </w:p>
    <w:p>
      <w:pPr>
        <w:pStyle w:val="Style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368" w:val="left"/>
        </w:tabs>
        <w:bidi w:val="0"/>
        <w:spacing w:before="0" w:after="600" w:line="259" w:lineRule="auto"/>
        <w:ind w:left="0" w:right="0" w:firstLine="0"/>
        <w:jc w:val="left"/>
      </w:pPr>
      <w:r>
        <w:rPr>
          <w:rStyle w:val="CharStyle3"/>
        </w:rPr>
        <w:t>odczytania aktu oskarżenia przez oskarżyciela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4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W sprawach o przestępstwa ścigane z oskarżenia publicznego pokrzywdzony może złożyć oświadczenie, że będzie działał w charakterze oskarżyciela posiłkowego:</w:t>
      </w:r>
    </w:p>
    <w:p>
      <w:pPr>
        <w:pStyle w:val="Style2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368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do czasu wywołania rozprawy</w:t>
      </w:r>
    </w:p>
    <w:p>
      <w:pPr>
        <w:pStyle w:val="Style2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382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do czasu rozpoczęcia przewodu sądowego</w:t>
      </w:r>
    </w:p>
    <w:p>
      <w:pPr>
        <w:pStyle w:val="Style2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363" w:val="left"/>
        </w:tabs>
        <w:bidi w:val="0"/>
        <w:spacing w:before="0" w:after="600" w:line="259" w:lineRule="auto"/>
        <w:ind w:left="0" w:right="0" w:firstLine="0"/>
        <w:jc w:val="left"/>
      </w:pPr>
      <w:r>
        <w:rPr>
          <w:rStyle w:val="CharStyle3"/>
        </w:rPr>
        <w:t>w terminie 7 dni od daty doręczenia zawiadomienia o przesłaniu aktu oskarżenia do sądu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4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Sąd rejonowy orzeka w pierwszej instancji: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64" w:lineRule="auto"/>
        <w:ind w:left="0" w:right="0" w:firstLine="0"/>
        <w:jc w:val="left"/>
      </w:pPr>
      <w:r>
        <w:rPr>
          <w:rStyle w:val="CharStyle3"/>
        </w:rPr>
        <w:t>a)we wszystkich sprawach, z wyjątkiem spraw przekazanych ustawą do właściwości innego sądu</w:t>
      </w:r>
    </w:p>
    <w:p>
      <w:pPr>
        <w:pStyle w:val="Style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387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w sprawach o występki oraz o zbrodnie gdy ustawa tak stanowi</w:t>
      </w:r>
    </w:p>
    <w:p>
      <w:pPr>
        <w:pStyle w:val="Style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363" w:val="left"/>
        </w:tabs>
        <w:bidi w:val="0"/>
        <w:spacing w:before="0" w:after="600" w:line="240" w:lineRule="auto"/>
        <w:ind w:left="0" w:right="0" w:firstLine="0"/>
        <w:jc w:val="left"/>
      </w:pPr>
      <w:r>
        <w:rPr>
          <w:rStyle w:val="CharStyle3"/>
        </w:rPr>
        <w:t>we wszystkich sprawach w których górna granica ustawowego zagrożenia nie przekracza lat 10.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4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Na posiedzeniu sąd orzeka:</w:t>
      </w:r>
    </w:p>
    <w:p>
      <w:pPr>
        <w:pStyle w:val="Style2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368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zawsze jednoosobowo</w:t>
      </w:r>
    </w:p>
    <w:p>
      <w:pPr>
        <w:pStyle w:val="Style2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382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jednoosobowo, albo w składzie trzech sędziów gdy ustawa tak stanowi</w:t>
      </w:r>
    </w:p>
    <w:p>
      <w:pPr>
        <w:pStyle w:val="Style2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363" w:val="left"/>
        </w:tabs>
        <w:bidi w:val="0"/>
        <w:spacing w:before="0" w:after="600" w:line="254" w:lineRule="auto"/>
        <w:ind w:left="0" w:right="0" w:firstLine="0"/>
        <w:jc w:val="left"/>
      </w:pPr>
      <w:r>
        <w:rPr>
          <w:rStyle w:val="CharStyle3"/>
        </w:rPr>
        <w:t>jednoosobowo, chyba, że ustawa stanowi inaczej, albo ze względu na szczególną zawiłość sprawy lub jej wagę prezes sądu zarządzi jej rozpoznanie w składzie trzech sędziów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4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3"/>
        </w:rPr>
        <w:t>W sprawie zawiłej lub z innych ważnych przyczyn można odroczyć sporządzenie uzasadnienia postanowienia na czas:</w:t>
      </w:r>
    </w:p>
    <w:p>
      <w:pPr>
        <w:pStyle w:val="Style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363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do 7 dni</w:t>
      </w:r>
    </w:p>
    <w:p>
      <w:pPr>
        <w:pStyle w:val="Style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387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do 14 dni</w:t>
      </w:r>
    </w:p>
    <w:p>
      <w:pPr>
        <w:pStyle w:val="Style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368" w:val="left"/>
        </w:tabs>
        <w:bidi w:val="0"/>
        <w:spacing w:before="0" w:line="259" w:lineRule="auto"/>
        <w:ind w:left="0" w:right="0" w:firstLine="0"/>
        <w:jc w:val="left"/>
      </w:pPr>
      <w:r>
        <w:rPr>
          <w:rStyle w:val="CharStyle3"/>
        </w:rPr>
        <w:t>do 16 dni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Zarządzenie wymaga pisemnego uzasadnienia:</w:t>
      </w:r>
    </w:p>
    <w:p>
      <w:pPr>
        <w:pStyle w:val="Style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68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w każdym wypadku</w:t>
      </w:r>
    </w:p>
    <w:p>
      <w:pPr>
        <w:pStyle w:val="Style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87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jeżeli podlega zaskarżeniu</w:t>
      </w:r>
    </w:p>
    <w:p>
      <w:pPr>
        <w:pStyle w:val="Style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368" w:val="left"/>
        </w:tabs>
        <w:bidi w:val="0"/>
        <w:spacing w:before="0" w:after="600" w:line="266" w:lineRule="auto"/>
        <w:ind w:left="0" w:right="0" w:firstLine="0"/>
        <w:jc w:val="left"/>
      </w:pPr>
      <w:r>
        <w:rPr>
          <w:rStyle w:val="CharStyle3"/>
        </w:rPr>
        <w:t>z urzędu lub na wniosek stron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Postępowanie wykonawcze wszczyna się bezzwłocznie gdy:</w:t>
      </w:r>
    </w:p>
    <w:p>
      <w:pPr>
        <w:pStyle w:val="Style2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373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orzeczenie stało się prawomocne</w:t>
      </w:r>
    </w:p>
    <w:p>
      <w:pPr>
        <w:pStyle w:val="Style2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387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orzeczenie stało się wykonalne</w:t>
      </w:r>
    </w:p>
    <w:p>
      <w:pPr>
        <w:pStyle w:val="Style2"/>
        <w:keepNext w:val="0"/>
        <w:keepLines w:val="0"/>
        <w:widowControl w:val="0"/>
        <w:numPr>
          <w:ilvl w:val="0"/>
          <w:numId w:val="69"/>
        </w:numPr>
        <w:shd w:val="clear" w:color="auto" w:fill="auto"/>
        <w:tabs>
          <w:tab w:pos="368" w:val="left"/>
        </w:tabs>
        <w:bidi w:val="0"/>
        <w:spacing w:before="0" w:after="600" w:line="266" w:lineRule="auto"/>
        <w:ind w:left="0" w:right="0" w:firstLine="0"/>
        <w:jc w:val="left"/>
      </w:pPr>
      <w:r>
        <w:rPr>
          <w:rStyle w:val="CharStyle3"/>
        </w:rPr>
        <w:t>wraz z upływem terminu do wniesienia nadzwyczajnych środków odwoławczych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78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Policja w zakresie postępowania wykonawczego wykonuje:</w:t>
      </w:r>
    </w:p>
    <w:p>
      <w:pPr>
        <w:pStyle w:val="Style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373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polecenia sądu</w:t>
      </w:r>
    </w:p>
    <w:p>
      <w:pPr>
        <w:pStyle w:val="Style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387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polecenia organów postępowania wykonawczego</w:t>
      </w:r>
    </w:p>
    <w:p>
      <w:pPr>
        <w:pStyle w:val="Style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368" w:val="left"/>
        </w:tabs>
        <w:bidi w:val="0"/>
        <w:spacing w:before="0" w:after="600" w:line="266" w:lineRule="auto"/>
        <w:ind w:left="0" w:right="0" w:firstLine="0"/>
        <w:jc w:val="left"/>
      </w:pPr>
      <w:r>
        <w:rPr>
          <w:rStyle w:val="CharStyle3"/>
        </w:rPr>
        <w:t>polecenia sądu oraz sądowego kuratora zawodowego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83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W sprawach o udzielenie przerwy w odbywaniu kary pozbawienia wolności właściwy rzeczowo do rozpoznania wniosku jest:</w:t>
      </w:r>
    </w:p>
    <w:p>
      <w:pPr>
        <w:pStyle w:val="Style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368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sąd który wydał orzeczenie w pierwszej I instancji</w:t>
      </w:r>
    </w:p>
    <w:p>
      <w:pPr>
        <w:pStyle w:val="Style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392" w:val="left"/>
        </w:tabs>
        <w:bidi w:val="0"/>
        <w:spacing w:before="0" w:line="266" w:lineRule="auto"/>
        <w:ind w:left="0" w:right="0" w:firstLine="0"/>
        <w:jc w:val="left"/>
      </w:pPr>
      <w:r>
        <w:rPr>
          <w:rStyle w:val="CharStyle3"/>
        </w:rPr>
        <w:t>sąd penitencjarny</w:t>
      </w:r>
    </w:p>
    <w:p>
      <w:pPr>
        <w:pStyle w:val="Style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373" w:val="left"/>
        </w:tabs>
        <w:bidi w:val="0"/>
        <w:spacing w:before="0" w:line="266" w:lineRule="auto"/>
        <w:ind w:left="0" w:right="0" w:firstLine="0"/>
        <w:jc w:val="left"/>
        <w:sectPr>
          <w:footerReference w:type="default" r:id="rId7"/>
          <w:footerReference w:type="even" r:id="rId8"/>
          <w:footnotePr>
            <w:pos w:val="pageBottom"/>
            <w:numFmt w:val="decimal"/>
            <w:numRestart w:val="continuous"/>
          </w:footnotePr>
          <w:pgSz w:w="11900" w:h="16840"/>
          <w:pgMar w:top="1356" w:right="1434" w:bottom="1888" w:left="1293" w:header="928" w:footer="3" w:gutter="0"/>
          <w:cols w:space="720"/>
          <w:noEndnote/>
          <w:rtlGutter w:val="0"/>
          <w:docGrid w:linePitch="360"/>
        </w:sectPr>
      </w:pPr>
      <w:r>
        <w:rPr>
          <w:rStyle w:val="CharStyle3"/>
        </w:rPr>
        <w:t>sąd rejonowy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080" w:line="240" w:lineRule="auto"/>
        <w:ind w:left="1980" w:right="0" w:firstLine="0"/>
        <w:jc w:val="left"/>
      </w:pPr>
      <w:r>
        <w:rPr>
          <w:rStyle w:val="CharStyle3"/>
          <w:b/>
          <w:bCs/>
        </w:rPr>
        <w:t>Imię i nazwisko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center"/>
      </w:pPr>
      <w:r>
        <w:rPr>
          <w:rStyle w:val="CharStyle3"/>
          <w:b/>
          <w:bCs/>
        </w:rPr>
        <w:t>KONKURS NA STANOWISKO ASYSTENTA SĘDZIEGO</w:t>
        <w:br/>
        <w:t>Ogłoszenie KD. 1011-78/2022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rStyle w:val="CharStyle3"/>
          <w:b/>
          <w:bCs/>
        </w:rPr>
        <w:t>PRACA PISEMNA (jeden z dwóch tematów z zakresu prawa cywilnego i karnego)</w:t>
      </w:r>
    </w:p>
    <w:p>
      <w:pPr>
        <w:pStyle w:val="Style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354" w:val="left"/>
        </w:tabs>
        <w:bidi w:val="0"/>
        <w:spacing w:before="0" w:after="540" w:line="240" w:lineRule="auto"/>
        <w:ind w:left="0" w:right="0" w:firstLine="0"/>
        <w:jc w:val="left"/>
      </w:pPr>
      <w:r>
        <w:rPr>
          <w:rStyle w:val="CharStyle3"/>
        </w:rPr>
        <w:t>Proszę opisać zasady dziedziczenia ustawowego uregulowane w kodeksie cywilnym.</w:t>
      </w:r>
    </w:p>
    <w:p>
      <w:pPr>
        <w:pStyle w:val="Style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368" w:val="left"/>
        </w:tabs>
        <w:bidi w:val="0"/>
        <w:spacing w:before="0" w:after="8700" w:line="240" w:lineRule="auto"/>
        <w:ind w:left="0" w:right="0" w:firstLine="0"/>
        <w:jc w:val="left"/>
      </w:pPr>
      <w:r>
        <w:rPr>
          <w:rStyle w:val="CharStyle3"/>
        </w:rPr>
        <w:t>Proszę opisać zasady orzekania kary łącznej uregulowane w kodeksie postępowania karnego.</w:t>
      </w:r>
    </w:p>
    <w:p>
      <w:pPr>
        <w:pStyle w:val="Style8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sectPr>
          <w:footerReference w:type="default" r:id="rId9"/>
          <w:footerReference w:type="even" r:id="rId10"/>
          <w:footnotePr>
            <w:pos w:val="pageBottom"/>
            <w:numFmt w:val="decimal"/>
            <w:numRestart w:val="continuous"/>
          </w:footnotePr>
          <w:pgSz w:w="11900" w:h="16840"/>
          <w:pgMar w:top="2199" w:right="2007" w:bottom="688" w:left="1267" w:header="1771" w:footer="260" w:gutter="0"/>
          <w:pgNumType w:start="9"/>
          <w:cols w:space="720"/>
          <w:noEndnote/>
          <w:rtlGutter w:val="0"/>
          <w:docGrid w:linePitch="360"/>
        </w:sectPr>
      </w:pPr>
      <w:bookmarkStart w:id="0" w:name="bookmark0"/>
      <w:r>
        <w:rPr>
          <w:rStyle w:val="CharStyle9"/>
        </w:rPr>
        <w:t>str. 1</w:t>
      </w:r>
      <w:bookmarkEnd w:id="0"/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Style w:val="CharStyle11"/>
        </w:rPr>
        <w:t>str. 2</w:t>
      </w:r>
    </w:p>
    <w:sectPr>
      <w:footnotePr>
        <w:pos w:val="pageBottom"/>
        <w:numFmt w:val="decimal"/>
        <w:numRestart w:val="continuous"/>
      </w:footnotePr>
      <w:pgSz w:w="11900" w:h="16840"/>
      <w:pgMar w:top="15480" w:right="1405" w:bottom="814" w:left="1869" w:header="15052" w:footer="386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894080</wp:posOffset>
              </wp:positionH>
              <wp:positionV relativeFrom="page">
                <wp:posOffset>9742805</wp:posOffset>
              </wp:positionV>
              <wp:extent cx="57785" cy="88265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778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Style w:val="CharStyle6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0.400000000000006pt;margin-top:767.14999999999998pt;width:4.5499999999999998pt;height:6.95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Style w:val="CharStyle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860425</wp:posOffset>
              </wp:positionH>
              <wp:positionV relativeFrom="page">
                <wp:posOffset>9681845</wp:posOffset>
              </wp:positionV>
              <wp:extent cx="54610" cy="88265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4610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Style w:val="CharStyle6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67.75pt;margin-top:762.35000000000002pt;width:4.2999999999999998pt;height:6.9500000000000002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Style w:val="CharStyle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894080</wp:posOffset>
              </wp:positionH>
              <wp:positionV relativeFrom="page">
                <wp:posOffset>9742805</wp:posOffset>
              </wp:positionV>
              <wp:extent cx="57785" cy="88265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778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Style w:val="CharStyle6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70.400000000000006pt;margin-top:767.14999999999998pt;width:4.5499999999999998pt;height:6.9500000000000002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Style w:val="CharStyle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894080</wp:posOffset>
              </wp:positionH>
              <wp:positionV relativeFrom="page">
                <wp:posOffset>9742805</wp:posOffset>
              </wp:positionV>
              <wp:extent cx="57785" cy="8826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7785" cy="8826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Style w:val="CharStyle6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70.400000000000006pt;margin-top:767.14999999999998pt;width:4.5499999999999998pt;height:6.9500000000000002pt;z-index:-1887440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Style w:val="CharStyle6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4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1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1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14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1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1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2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2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24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2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2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3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3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34">
    <w:multiLevelType w:val="multilevel"/>
    <w:lvl w:ilvl="0">
      <w:start w:val="2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3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3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4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4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44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4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4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5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5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54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5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5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60">
    <w:multiLevelType w:val="multilevel"/>
    <w:lvl w:ilvl="0">
      <w:start w:val="2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6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64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66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68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70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72">
    <w:multiLevelType w:val="multilevel"/>
    <w:lvl w:ilvl="0">
      <w:start w:val="1"/>
      <w:numFmt w:val="lowerLetter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abstractNum w:abstractNumId="74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  <w:num w:numId="33">
    <w:abstractNumId w:val="32"/>
  </w:num>
  <w:num w:numId="35">
    <w:abstractNumId w:val="34"/>
  </w:num>
  <w:num w:numId="37">
    <w:abstractNumId w:val="36"/>
  </w:num>
  <w:num w:numId="39">
    <w:abstractNumId w:val="38"/>
  </w:num>
  <w:num w:numId="41">
    <w:abstractNumId w:val="40"/>
  </w:num>
  <w:num w:numId="43">
    <w:abstractNumId w:val="42"/>
  </w:num>
  <w:num w:numId="45">
    <w:abstractNumId w:val="44"/>
  </w:num>
  <w:num w:numId="47">
    <w:abstractNumId w:val="46"/>
  </w:num>
  <w:num w:numId="49">
    <w:abstractNumId w:val="48"/>
  </w:num>
  <w:num w:numId="51">
    <w:abstractNumId w:val="50"/>
  </w:num>
  <w:num w:numId="53">
    <w:abstractNumId w:val="52"/>
  </w:num>
  <w:num w:numId="55">
    <w:abstractNumId w:val="54"/>
  </w:num>
  <w:num w:numId="57">
    <w:abstractNumId w:val="56"/>
  </w:num>
  <w:num w:numId="59">
    <w:abstractNumId w:val="58"/>
  </w:num>
  <w:num w:numId="61">
    <w:abstractNumId w:val="60"/>
  </w:num>
  <w:num w:numId="63">
    <w:abstractNumId w:val="62"/>
  </w:num>
  <w:num w:numId="65">
    <w:abstractNumId w:val="64"/>
  </w:num>
  <w:num w:numId="67">
    <w:abstractNumId w:val="66"/>
  </w:num>
  <w:num w:numId="69">
    <w:abstractNumId w:val="68"/>
  </w:num>
  <w:num w:numId="71">
    <w:abstractNumId w:val="70"/>
  </w:num>
  <w:num w:numId="73">
    <w:abstractNumId w:val="72"/>
  </w:num>
  <w:num w:numId="75">
    <w:abstractNumId w:val="7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 w:bidi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 w:bidi="pl-PL"/>
    </w:rPr>
  </w:style>
  <w:style w:type="character" w:customStyle="1" w:styleId="CharStyle3">
    <w:name w:val="Tekst treści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6">
    <w:name w:val="Nagłówek lub stopka (2)_"/>
    <w:basedOn w:val="DefaultParagraphFont"/>
    <w:link w:val="Styl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Nagłówek #1_"/>
    <w:basedOn w:val="DefaultParagraphFont"/>
    <w:link w:val="Style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harStyle11">
    <w:name w:val="Tekst treści (2)_"/>
    <w:basedOn w:val="DefaultParagraphFont"/>
    <w:link w:val="Style1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paragraph" w:customStyle="1" w:styleId="Style2">
    <w:name w:val="Tekst treści"/>
    <w:basedOn w:val="Normal"/>
    <w:link w:val="CharStyle3"/>
    <w:pPr>
      <w:widowControl w:val="0"/>
      <w:shd w:val="clear" w:color="auto" w:fill="auto"/>
      <w:spacing w:after="140" w:line="262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5">
    <w:name w:val="Nagłówek lub stopka (2)"/>
    <w:basedOn w:val="Normal"/>
    <w:link w:val="CharStyle6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8">
    <w:name w:val="Nagłówek #1"/>
    <w:basedOn w:val="Normal"/>
    <w:link w:val="CharStyle9"/>
    <w:pPr>
      <w:widowControl w:val="0"/>
      <w:shd w:val="clear" w:color="auto" w:fill="auto"/>
      <w:jc w:val="right"/>
      <w:outlineLvl w:val="0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Style10">
    <w:name w:val="Tekst treści (2)"/>
    <w:basedOn w:val="Normal"/>
    <w:link w:val="CharStyle11"/>
    <w:pPr>
      <w:widowControl w:val="0"/>
      <w:shd w:val="clear" w:color="auto" w:fill="auto"/>
      <w:jc w:val="right"/>
    </w:pPr>
    <w:rPr>
      <w:rFonts w:ascii="Calibri" w:eastAsia="Calibri" w:hAnsi="Calibri" w:cs="Calibri"/>
      <w:b w:val="0"/>
      <w:bCs w:val="0"/>
      <w:i w:val="0"/>
      <w:iCs w:val="0"/>
      <w:smallCaps w:val="0"/>
      <w:strike w:val="0"/>
      <w:sz w:val="26"/>
      <w:szCs w:val="26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Relationship Id="rId10" Type="http://schemas.openxmlformats.org/officeDocument/2006/relationships/footer" Target="footer6.xml"/></Relationships>
</file>