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7A9" w:rsidRPr="007D1A73" w:rsidRDefault="001867A9" w:rsidP="00327AA7">
      <w:pPr>
        <w:spacing w:after="0" w:line="360" w:lineRule="auto"/>
        <w:ind w:left="113"/>
        <w:jc w:val="right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br/>
      </w:r>
      <w:r w:rsidRPr="007D1A73">
        <w:rPr>
          <w:rFonts w:ascii="Times New Roman" w:hAnsi="Times New Roman" w:cs="Times New Roman"/>
          <w:sz w:val="24"/>
          <w:szCs w:val="24"/>
        </w:rPr>
        <w:t>Nr kodu zdającego………………………</w:t>
      </w:r>
    </w:p>
    <w:p w:rsidR="001867A9" w:rsidRPr="007D1A73" w:rsidRDefault="001867A9" w:rsidP="00327AA7">
      <w:pPr>
        <w:tabs>
          <w:tab w:val="left" w:pos="360"/>
        </w:tabs>
        <w:spacing w:after="0" w:line="360" w:lineRule="auto"/>
        <w:ind w:left="113"/>
        <w:jc w:val="both"/>
        <w:rPr>
          <w:rFonts w:ascii="Times New Roman" w:hAnsi="Times New Roman" w:cs="Times New Roman"/>
          <w:sz w:val="24"/>
          <w:szCs w:val="24"/>
        </w:rPr>
      </w:pPr>
    </w:p>
    <w:p w:rsidR="001867A9" w:rsidRPr="007D1A73" w:rsidRDefault="001867A9" w:rsidP="00327AA7">
      <w:pPr>
        <w:tabs>
          <w:tab w:val="left" w:pos="360"/>
        </w:tabs>
        <w:spacing w:after="0" w:line="360" w:lineRule="auto"/>
        <w:ind w:left="113"/>
        <w:jc w:val="both"/>
        <w:rPr>
          <w:rFonts w:ascii="Times New Roman" w:hAnsi="Times New Roman" w:cs="Times New Roman"/>
          <w:sz w:val="24"/>
          <w:szCs w:val="24"/>
        </w:rPr>
      </w:pPr>
    </w:p>
    <w:p w:rsidR="001867A9" w:rsidRPr="007D1A73" w:rsidRDefault="001867A9" w:rsidP="00327AA7">
      <w:pPr>
        <w:tabs>
          <w:tab w:val="left" w:pos="360"/>
        </w:tabs>
        <w:spacing w:after="0" w:line="360" w:lineRule="auto"/>
        <w:ind w:left="11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ETAP DRUGI</w:t>
      </w:r>
    </w:p>
    <w:p w:rsidR="001867A9" w:rsidRPr="007D1A73" w:rsidRDefault="001867A9" w:rsidP="00327AA7">
      <w:pPr>
        <w:spacing w:after="0" w:line="360" w:lineRule="auto"/>
        <w:ind w:left="113"/>
        <w:jc w:val="both"/>
        <w:rPr>
          <w:rFonts w:ascii="Times New Roman" w:hAnsi="Times New Roman" w:cs="Times New Roman"/>
          <w:sz w:val="24"/>
          <w:szCs w:val="24"/>
        </w:rPr>
      </w:pPr>
    </w:p>
    <w:p w:rsidR="001867A9" w:rsidRPr="007D1A73" w:rsidRDefault="001867A9" w:rsidP="00327AA7">
      <w:pPr>
        <w:tabs>
          <w:tab w:val="left" w:pos="375"/>
        </w:tabs>
        <w:spacing w:after="0" w:line="360" w:lineRule="auto"/>
        <w:ind w:left="113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A/</w:t>
      </w:r>
      <w:r w:rsidRPr="007D1A73">
        <w:rPr>
          <w:rFonts w:ascii="Times New Roman" w:hAnsi="Times New Roman" w:cs="Times New Roman"/>
          <w:b/>
          <w:sz w:val="24"/>
          <w:szCs w:val="24"/>
        </w:rPr>
        <w:tab/>
        <w:t>Test obejmuje 36 pytań z zakresu prawa cywilnego i karnego oraz postępowania cywilnego i karnego</w:t>
      </w:r>
      <w:r w:rsidRPr="007D1A73">
        <w:rPr>
          <w:rFonts w:ascii="Times New Roman" w:hAnsi="Times New Roman" w:cs="Times New Roman"/>
          <w:sz w:val="24"/>
          <w:szCs w:val="24"/>
        </w:rPr>
        <w:t>.</w:t>
      </w:r>
    </w:p>
    <w:p w:rsidR="001867A9" w:rsidRPr="007D1A73" w:rsidRDefault="001867A9" w:rsidP="00327AA7">
      <w:pPr>
        <w:tabs>
          <w:tab w:val="left" w:pos="375"/>
        </w:tabs>
        <w:spacing w:after="0" w:line="360" w:lineRule="auto"/>
        <w:ind w:left="113"/>
        <w:jc w:val="both"/>
        <w:rPr>
          <w:rFonts w:ascii="Times New Roman" w:hAnsi="Times New Roman" w:cs="Times New Roman"/>
          <w:sz w:val="24"/>
          <w:szCs w:val="24"/>
        </w:rPr>
      </w:pPr>
    </w:p>
    <w:p w:rsidR="001867A9" w:rsidRPr="007D1A73" w:rsidRDefault="001867A9" w:rsidP="00327AA7">
      <w:pPr>
        <w:tabs>
          <w:tab w:val="left" w:pos="375"/>
        </w:tabs>
        <w:spacing w:after="0" w:line="360" w:lineRule="auto"/>
        <w:ind w:left="11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Pouczenie:</w:t>
      </w:r>
    </w:p>
    <w:p w:rsidR="001867A9" w:rsidRPr="007D1A73" w:rsidRDefault="001867A9" w:rsidP="00327AA7">
      <w:pPr>
        <w:numPr>
          <w:ilvl w:val="0"/>
          <w:numId w:val="20"/>
        </w:numPr>
        <w:tabs>
          <w:tab w:val="left" w:pos="375"/>
        </w:tabs>
        <w:spacing w:after="0" w:line="360" w:lineRule="auto"/>
        <w:ind w:left="113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Test liczy 36 pytań. Odpowiedzi prawidłowe należy zaznaczyć przez zakreślenie właściwego podpunktu w tekście testu.</w:t>
      </w:r>
    </w:p>
    <w:p w:rsidR="001867A9" w:rsidRPr="007D1A73" w:rsidRDefault="001867A9" w:rsidP="00327AA7">
      <w:pPr>
        <w:numPr>
          <w:ilvl w:val="0"/>
          <w:numId w:val="20"/>
        </w:numPr>
        <w:tabs>
          <w:tab w:val="left" w:pos="375"/>
        </w:tabs>
        <w:spacing w:after="0" w:line="360" w:lineRule="auto"/>
        <w:ind w:left="113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Na każde pytanie tylko jedna odpowiedź jest prawidłowa. Za każdą prawidłową odpowiedź otrzymuje się 1 pkt.</w:t>
      </w:r>
    </w:p>
    <w:p w:rsidR="001867A9" w:rsidRPr="007D1A73" w:rsidRDefault="001867A9" w:rsidP="00327AA7">
      <w:pPr>
        <w:numPr>
          <w:ilvl w:val="0"/>
          <w:numId w:val="20"/>
        </w:numPr>
        <w:tabs>
          <w:tab w:val="left" w:pos="375"/>
        </w:tabs>
        <w:spacing w:after="0" w:line="360" w:lineRule="auto"/>
        <w:ind w:left="113" w:firstLine="0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W przypadku dokonania przez kandydata zmian zakreślonych odpowiedzi, za dane pytanie testowe komisja przyznaje 0 pkt.</w:t>
      </w:r>
    </w:p>
    <w:p w:rsidR="001867A9" w:rsidRPr="007D1A73" w:rsidRDefault="001867A9" w:rsidP="00327AA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Pytania zostały opracowane według stanu prawnego na dzień przeprowadzenia konkursu</w:t>
      </w:r>
    </w:p>
    <w:p w:rsidR="001867A9" w:rsidRPr="007D1A73" w:rsidRDefault="001867A9" w:rsidP="00327AA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br w:type="column"/>
      </w:r>
    </w:p>
    <w:p w:rsidR="001867A9" w:rsidRPr="007D1A73" w:rsidRDefault="001867A9" w:rsidP="00327AA7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Zgodnie z kodeksem cywilnym, jeżeli ustawa uzależnia skutki prawne od dobrej lub złej wiary, domniemywa się istnienie:</w:t>
      </w:r>
    </w:p>
    <w:p w:rsidR="001867A9" w:rsidRPr="007D1A73" w:rsidRDefault="001867A9" w:rsidP="00327AA7">
      <w:pPr>
        <w:pStyle w:val="Akapitzlist"/>
        <w:numPr>
          <w:ilvl w:val="0"/>
          <w:numId w:val="3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złej wiary,</w:t>
      </w:r>
    </w:p>
    <w:p w:rsidR="001867A9" w:rsidRPr="007D1A73" w:rsidRDefault="001867A9" w:rsidP="00327AA7">
      <w:pPr>
        <w:pStyle w:val="Akapitzlist"/>
        <w:numPr>
          <w:ilvl w:val="0"/>
          <w:numId w:val="3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dobrej wiary pod warunkiem, że zasady słuszności nie wskazują na istnienie złej wiary,</w:t>
      </w:r>
    </w:p>
    <w:p w:rsidR="001867A9" w:rsidRPr="007D1A73" w:rsidRDefault="001867A9" w:rsidP="00327AA7">
      <w:pPr>
        <w:pStyle w:val="Akapitzlist"/>
        <w:numPr>
          <w:ilvl w:val="0"/>
          <w:numId w:val="3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dobrej wiary.</w:t>
      </w:r>
    </w:p>
    <w:p w:rsidR="001867A9" w:rsidRPr="007D1A73" w:rsidRDefault="001867A9" w:rsidP="00327AA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867A9" w:rsidRPr="007D1A73" w:rsidRDefault="001867A9" w:rsidP="00327AA7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Zgodnie z kodeksem cywilnym, każdy człowiek ma zdolność prawną od chwili:</w:t>
      </w:r>
    </w:p>
    <w:p w:rsidR="001867A9" w:rsidRPr="007D1A73" w:rsidRDefault="001867A9" w:rsidP="00327AA7">
      <w:pPr>
        <w:pStyle w:val="Akapitzlist"/>
        <w:numPr>
          <w:ilvl w:val="0"/>
          <w:numId w:val="4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poczęcia,</w:t>
      </w:r>
    </w:p>
    <w:p w:rsidR="001867A9" w:rsidRPr="007D1A73" w:rsidRDefault="001867A9" w:rsidP="00327AA7">
      <w:pPr>
        <w:pStyle w:val="Akapitzlist"/>
        <w:numPr>
          <w:ilvl w:val="0"/>
          <w:numId w:val="4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urodzenia,</w:t>
      </w:r>
    </w:p>
    <w:p w:rsidR="001867A9" w:rsidRPr="007D1A73" w:rsidRDefault="001867A9" w:rsidP="00327AA7">
      <w:pPr>
        <w:pStyle w:val="Akapitzlist"/>
        <w:numPr>
          <w:ilvl w:val="0"/>
          <w:numId w:val="4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poczęcia pod warunkiem, że urodzi się żywy.</w:t>
      </w:r>
    </w:p>
    <w:p w:rsidR="001867A9" w:rsidRPr="007D1A73" w:rsidRDefault="001867A9" w:rsidP="00327AA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867A9" w:rsidRPr="007D1A73" w:rsidRDefault="001867A9" w:rsidP="00327AA7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Zgodnie z kodeksem cywilnym, rzeczami w rozumieniu kodeksu cywilnego są:</w:t>
      </w:r>
    </w:p>
    <w:p w:rsidR="001867A9" w:rsidRPr="007D1A73" w:rsidRDefault="001867A9" w:rsidP="00327AA7">
      <w:pPr>
        <w:pStyle w:val="Akapitzlist"/>
        <w:numPr>
          <w:ilvl w:val="0"/>
          <w:numId w:val="5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przedmioty materialne i niematerialne,</w:t>
      </w:r>
    </w:p>
    <w:p w:rsidR="001867A9" w:rsidRPr="007D1A73" w:rsidRDefault="001867A9" w:rsidP="00327AA7">
      <w:pPr>
        <w:pStyle w:val="Akapitzlist"/>
        <w:numPr>
          <w:ilvl w:val="0"/>
          <w:numId w:val="5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przedmioty materialne,</w:t>
      </w:r>
    </w:p>
    <w:p w:rsidR="001867A9" w:rsidRPr="007D1A73" w:rsidRDefault="001867A9" w:rsidP="00327AA7">
      <w:pPr>
        <w:pStyle w:val="Akapitzlist"/>
        <w:numPr>
          <w:ilvl w:val="0"/>
          <w:numId w:val="5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przedmioty materialne oraz płyny, para, gaz i energia elektryczna.</w:t>
      </w:r>
    </w:p>
    <w:p w:rsidR="001867A9" w:rsidRPr="007D1A73" w:rsidRDefault="001867A9" w:rsidP="00327AA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867A9" w:rsidRPr="007D1A73" w:rsidRDefault="001867A9" w:rsidP="00327AA7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Zgodnie z kodeksem cywilnym, dokumentem jest:</w:t>
      </w:r>
    </w:p>
    <w:p w:rsidR="001867A9" w:rsidRPr="007D1A73" w:rsidRDefault="001867A9" w:rsidP="00327AA7">
      <w:pPr>
        <w:pStyle w:val="Akapitzlist"/>
        <w:numPr>
          <w:ilvl w:val="0"/>
          <w:numId w:val="1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nośnik informacji umożliwiający jej odtworzenie,</w:t>
      </w:r>
    </w:p>
    <w:p w:rsidR="001867A9" w:rsidRPr="007D1A73" w:rsidRDefault="001867A9" w:rsidP="00327AA7">
      <w:pPr>
        <w:pStyle w:val="Akapitzlist"/>
        <w:numPr>
          <w:ilvl w:val="0"/>
          <w:numId w:val="1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informacja zawierająca treść,</w:t>
      </w:r>
    </w:p>
    <w:p w:rsidR="001867A9" w:rsidRPr="007D1A73" w:rsidRDefault="001867A9" w:rsidP="00327AA7">
      <w:pPr>
        <w:pStyle w:val="Akapitzlist"/>
        <w:numPr>
          <w:ilvl w:val="0"/>
          <w:numId w:val="1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nośnik informacji.</w:t>
      </w:r>
    </w:p>
    <w:p w:rsidR="001867A9" w:rsidRPr="007D1A73" w:rsidRDefault="001867A9" w:rsidP="00327AA7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1867A9" w:rsidRPr="007D1A73" w:rsidRDefault="001867A9" w:rsidP="00327AA7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Zgodnie z kodeksem cywilnym, zrzeczenie się zarzutu przedawnienia jest:</w:t>
      </w:r>
    </w:p>
    <w:p w:rsidR="001867A9" w:rsidRPr="007D1A73" w:rsidRDefault="001867A9" w:rsidP="00327AA7">
      <w:pPr>
        <w:pStyle w:val="Akapitzlist"/>
        <w:numPr>
          <w:ilvl w:val="0"/>
          <w:numId w:val="6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ważne, jeśli nastąpiło przed upływem terminu przedawnienia,</w:t>
      </w:r>
    </w:p>
    <w:p w:rsidR="001867A9" w:rsidRPr="007D1A73" w:rsidRDefault="001867A9" w:rsidP="00327AA7">
      <w:pPr>
        <w:pStyle w:val="Akapitzlist"/>
        <w:numPr>
          <w:ilvl w:val="0"/>
          <w:numId w:val="6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 xml:space="preserve">zawsze nieważne, </w:t>
      </w:r>
    </w:p>
    <w:p w:rsidR="001867A9" w:rsidRPr="007D1A73" w:rsidRDefault="001867A9" w:rsidP="00327AA7">
      <w:pPr>
        <w:pStyle w:val="Akapitzlist"/>
        <w:numPr>
          <w:ilvl w:val="0"/>
          <w:numId w:val="6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ważne, jeśli nastąpiło po upływie terminu przedawnienia</w:t>
      </w:r>
      <w:bookmarkStart w:id="0" w:name="mip55915272"/>
      <w:bookmarkEnd w:id="0"/>
      <w:r w:rsidR="00A12695">
        <w:rPr>
          <w:rFonts w:ascii="Times New Roman" w:hAnsi="Times New Roman" w:cs="Times New Roman"/>
          <w:sz w:val="24"/>
          <w:szCs w:val="24"/>
        </w:rPr>
        <w:t>.</w:t>
      </w:r>
    </w:p>
    <w:p w:rsidR="001867A9" w:rsidRPr="007D1A73" w:rsidRDefault="001867A9" w:rsidP="00327AA7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67A9" w:rsidRPr="007D1A73" w:rsidRDefault="001867A9" w:rsidP="00327AA7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Zgodnie z kodeksem cywilnym, w braku zgody współwłaścicieli na dokonanie czynności przekraczającej zwykły zarząd rzeczą wspólną, z żądaniem upoważnienia sądowego do dokonania takiej czynności mogą/może zwrócić się:</w:t>
      </w:r>
    </w:p>
    <w:p w:rsidR="001867A9" w:rsidRPr="007D1A73" w:rsidRDefault="001867A9" w:rsidP="00327AA7">
      <w:pPr>
        <w:pStyle w:val="Akapitzlist"/>
        <w:numPr>
          <w:ilvl w:val="0"/>
          <w:numId w:val="7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współwłaściciele dysponujący co najmniej połową udziałów,</w:t>
      </w:r>
    </w:p>
    <w:p w:rsidR="001867A9" w:rsidRPr="007D1A73" w:rsidRDefault="001867A9" w:rsidP="00327AA7">
      <w:pPr>
        <w:pStyle w:val="Akapitzlist"/>
        <w:numPr>
          <w:ilvl w:val="0"/>
          <w:numId w:val="7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 xml:space="preserve">każdy ze współwłaścicieli, </w:t>
      </w:r>
    </w:p>
    <w:p w:rsidR="001867A9" w:rsidRPr="007D1A73" w:rsidRDefault="001867A9" w:rsidP="00327AA7">
      <w:pPr>
        <w:pStyle w:val="Akapitzlist"/>
        <w:numPr>
          <w:ilvl w:val="0"/>
          <w:numId w:val="7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tylko zarządca nieruchomości ustanowiony uprzednio przez sąd.</w:t>
      </w:r>
    </w:p>
    <w:p w:rsidR="001867A9" w:rsidRPr="007D1A73" w:rsidRDefault="001867A9" w:rsidP="00327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67A9" w:rsidRPr="007D1A73" w:rsidRDefault="001867A9" w:rsidP="00327AA7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Zgodnie z kodeksem cywilnym, karę umowną można zastrzec na wypadek niewykonania lub  nienależytego wykonania zobowiązania:</w:t>
      </w:r>
    </w:p>
    <w:p w:rsidR="001867A9" w:rsidRPr="007D1A73" w:rsidRDefault="001867A9" w:rsidP="00327AA7">
      <w:pPr>
        <w:pStyle w:val="Akapitzlist"/>
        <w:numPr>
          <w:ilvl w:val="0"/>
          <w:numId w:val="8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pieniężnego,</w:t>
      </w:r>
    </w:p>
    <w:p w:rsidR="001867A9" w:rsidRPr="007D1A73" w:rsidRDefault="001867A9" w:rsidP="00327AA7">
      <w:pPr>
        <w:pStyle w:val="Akapitzlist"/>
        <w:numPr>
          <w:ilvl w:val="0"/>
          <w:numId w:val="8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niepieniężnego,</w:t>
      </w:r>
      <w:bookmarkStart w:id="1" w:name="mip55916111"/>
      <w:bookmarkEnd w:id="1"/>
    </w:p>
    <w:p w:rsidR="001867A9" w:rsidRPr="007D1A73" w:rsidRDefault="001867A9" w:rsidP="00327AA7">
      <w:pPr>
        <w:pStyle w:val="Akapitzlist"/>
        <w:numPr>
          <w:ilvl w:val="0"/>
          <w:numId w:val="8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pieniężnego i niepieniężnego.</w:t>
      </w:r>
    </w:p>
    <w:p w:rsidR="001867A9" w:rsidRPr="007D1A73" w:rsidRDefault="001867A9" w:rsidP="00327AA7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1867A9" w:rsidRPr="007D1A73" w:rsidRDefault="001867A9" w:rsidP="00327AA7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Zgodnie z kodeksem cywilnym, odpowiedzialność tego, kto na własny rachunek powierza wykonanie czynności osobie, która przy wykonywaniu tej czynności podlega jego kierownictwu i ma obowiązek stosować się do jego wskazówek, a która z własnej winy  wyrządziła szkodę innej osobie przy wykonywaniu powierzonej jej czynności, kształtuje się na zasadzie:</w:t>
      </w:r>
    </w:p>
    <w:p w:rsidR="001867A9" w:rsidRPr="007D1A73" w:rsidRDefault="001867A9" w:rsidP="00327AA7">
      <w:pPr>
        <w:pStyle w:val="Akapitzlist"/>
        <w:numPr>
          <w:ilvl w:val="0"/>
          <w:numId w:val="9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słuszności,</w:t>
      </w:r>
    </w:p>
    <w:p w:rsidR="001867A9" w:rsidRPr="007D1A73" w:rsidRDefault="001867A9" w:rsidP="00327AA7">
      <w:pPr>
        <w:pStyle w:val="Akapitzlist"/>
        <w:numPr>
          <w:ilvl w:val="0"/>
          <w:numId w:val="9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ryzyka,</w:t>
      </w:r>
    </w:p>
    <w:p w:rsidR="001867A9" w:rsidRPr="007D1A73" w:rsidRDefault="001867A9" w:rsidP="00327AA7">
      <w:pPr>
        <w:pStyle w:val="Akapitzlist"/>
        <w:numPr>
          <w:ilvl w:val="0"/>
          <w:numId w:val="9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winy.</w:t>
      </w:r>
    </w:p>
    <w:p w:rsidR="001867A9" w:rsidRPr="007D1A73" w:rsidRDefault="001867A9" w:rsidP="00327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67A9" w:rsidRPr="007D1A73" w:rsidRDefault="001867A9" w:rsidP="00327AA7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Zgodnie z kodeksem cywilnym, wydziedziczenie to pozbawienie prawa do:</w:t>
      </w:r>
    </w:p>
    <w:p w:rsidR="001867A9" w:rsidRPr="007D1A73" w:rsidRDefault="001867A9" w:rsidP="00327AA7">
      <w:pPr>
        <w:pStyle w:val="Akapitzlist"/>
        <w:numPr>
          <w:ilvl w:val="0"/>
          <w:numId w:val="10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tylko spadku z ustawy,</w:t>
      </w:r>
    </w:p>
    <w:p w:rsidR="001867A9" w:rsidRPr="007D1A73" w:rsidRDefault="001867A9" w:rsidP="00327AA7">
      <w:pPr>
        <w:pStyle w:val="Akapitzlist"/>
        <w:numPr>
          <w:ilvl w:val="0"/>
          <w:numId w:val="10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tylko zachowku,</w:t>
      </w:r>
    </w:p>
    <w:p w:rsidR="001867A9" w:rsidRPr="007D1A73" w:rsidRDefault="001867A9" w:rsidP="00327AA7">
      <w:pPr>
        <w:pStyle w:val="Akapitzlist"/>
        <w:numPr>
          <w:ilvl w:val="0"/>
          <w:numId w:val="10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 xml:space="preserve">spadku z ustawy i zachowku. </w:t>
      </w:r>
    </w:p>
    <w:p w:rsidR="001867A9" w:rsidRPr="007D1A73" w:rsidRDefault="001867A9" w:rsidP="00327AA7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1867A9" w:rsidRPr="007D1A73" w:rsidRDefault="001867A9" w:rsidP="00327AA7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Zgodnie z kodeksem postępowania cywilnego, przebieg rozprawy może być utrwalany przez stronę za pomocą urządzenia rejestrującego:</w:t>
      </w:r>
    </w:p>
    <w:p w:rsidR="001867A9" w:rsidRPr="007D1A73" w:rsidRDefault="001867A9" w:rsidP="00327AA7">
      <w:pPr>
        <w:pStyle w:val="Akapitzlist"/>
        <w:numPr>
          <w:ilvl w:val="0"/>
          <w:numId w:val="11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 xml:space="preserve">dźwięk bez zezwolenia sądu, </w:t>
      </w:r>
    </w:p>
    <w:p w:rsidR="001867A9" w:rsidRPr="007D1A73" w:rsidRDefault="001867A9" w:rsidP="00327AA7">
      <w:pPr>
        <w:pStyle w:val="Akapitzlist"/>
        <w:numPr>
          <w:ilvl w:val="0"/>
          <w:numId w:val="11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obraz i dźwięk bez zezwolenia sądu,</w:t>
      </w:r>
    </w:p>
    <w:p w:rsidR="001867A9" w:rsidRPr="007D1A73" w:rsidRDefault="001867A9" w:rsidP="00327AA7">
      <w:pPr>
        <w:pStyle w:val="Akapitzlist"/>
        <w:numPr>
          <w:ilvl w:val="0"/>
          <w:numId w:val="11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obraz bez zezwolenia sądu.</w:t>
      </w:r>
    </w:p>
    <w:p w:rsidR="001867A9" w:rsidRPr="007D1A73" w:rsidRDefault="001867A9" w:rsidP="00327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67A9" w:rsidRPr="007D1A73" w:rsidRDefault="001867A9" w:rsidP="00327AA7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Zgodnie z kodeksem postępowania cywilnego, przepisów o miejscowej właściwości przemiennej nie stosuje się w sprawach:</w:t>
      </w:r>
    </w:p>
    <w:p w:rsidR="001867A9" w:rsidRPr="007D1A73" w:rsidRDefault="001867A9" w:rsidP="00327AA7">
      <w:pPr>
        <w:pStyle w:val="Akapitzlist"/>
        <w:numPr>
          <w:ilvl w:val="0"/>
          <w:numId w:val="12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przeciwko przedsiębiorcom,</w:t>
      </w:r>
    </w:p>
    <w:p w:rsidR="001867A9" w:rsidRPr="007D1A73" w:rsidRDefault="001867A9" w:rsidP="00327AA7">
      <w:pPr>
        <w:pStyle w:val="Akapitzlist"/>
        <w:numPr>
          <w:ilvl w:val="0"/>
          <w:numId w:val="12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z powództw konsumentów,</w:t>
      </w:r>
    </w:p>
    <w:p w:rsidR="001867A9" w:rsidRPr="007D1A73" w:rsidRDefault="001867A9" w:rsidP="00327AA7">
      <w:pPr>
        <w:pStyle w:val="Akapitzlist"/>
        <w:numPr>
          <w:ilvl w:val="0"/>
          <w:numId w:val="12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 xml:space="preserve">przeciwko konsumentom. </w:t>
      </w:r>
    </w:p>
    <w:p w:rsidR="001867A9" w:rsidRPr="007D1A73" w:rsidRDefault="001867A9" w:rsidP="00327AA7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1867A9" w:rsidRPr="007D1A73" w:rsidRDefault="001867A9" w:rsidP="00327AA7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Zgodnie z kodeksem postępowania cywilnego, niedopuszczalny jest wniosek </w:t>
      </w:r>
      <w:r w:rsidR="007D1A73">
        <w:rPr>
          <w:rFonts w:ascii="Times New Roman" w:hAnsi="Times New Roman" w:cs="Times New Roman"/>
          <w:b/>
          <w:sz w:val="24"/>
          <w:szCs w:val="24"/>
        </w:rPr>
        <w:br/>
      </w:r>
      <w:r w:rsidRPr="007D1A73">
        <w:rPr>
          <w:rFonts w:ascii="Times New Roman" w:hAnsi="Times New Roman" w:cs="Times New Roman"/>
          <w:b/>
          <w:sz w:val="24"/>
          <w:szCs w:val="24"/>
        </w:rPr>
        <w:t>o wyłączenie sędziego:</w:t>
      </w:r>
    </w:p>
    <w:p w:rsidR="001867A9" w:rsidRPr="007D1A73" w:rsidRDefault="001867A9" w:rsidP="00327AA7">
      <w:pPr>
        <w:pStyle w:val="Akapitzlist"/>
        <w:numPr>
          <w:ilvl w:val="0"/>
          <w:numId w:val="13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złożony po raz kolejny co do tego samego sędziego,</w:t>
      </w:r>
    </w:p>
    <w:p w:rsidR="001867A9" w:rsidRPr="007D1A73" w:rsidRDefault="001867A9" w:rsidP="00327AA7">
      <w:pPr>
        <w:pStyle w:val="Akapitzlist"/>
        <w:numPr>
          <w:ilvl w:val="0"/>
          <w:numId w:val="13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 xml:space="preserve">oparty wyłącznie na okolicznościach związanych z rozstrzygnięciem przez sąd </w:t>
      </w:r>
      <w:r w:rsidR="007D1A73">
        <w:rPr>
          <w:rFonts w:ascii="Times New Roman" w:hAnsi="Times New Roman" w:cs="Times New Roman"/>
          <w:sz w:val="24"/>
          <w:szCs w:val="24"/>
        </w:rPr>
        <w:br/>
      </w:r>
      <w:r w:rsidRPr="007D1A73">
        <w:rPr>
          <w:rFonts w:ascii="Times New Roman" w:hAnsi="Times New Roman" w:cs="Times New Roman"/>
          <w:sz w:val="24"/>
          <w:szCs w:val="24"/>
        </w:rPr>
        <w:t xml:space="preserve">o dowodach, </w:t>
      </w:r>
      <w:bookmarkStart w:id="2" w:name="mip60505447"/>
      <w:bookmarkEnd w:id="2"/>
    </w:p>
    <w:p w:rsidR="001867A9" w:rsidRPr="007D1A73" w:rsidRDefault="001867A9" w:rsidP="00327AA7">
      <w:pPr>
        <w:pStyle w:val="Akapitzlist"/>
        <w:numPr>
          <w:ilvl w:val="0"/>
          <w:numId w:val="13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sędziego w II instancji.</w:t>
      </w:r>
    </w:p>
    <w:p w:rsidR="001867A9" w:rsidRPr="007D1A73" w:rsidRDefault="001867A9" w:rsidP="00327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67A9" w:rsidRPr="007D1A73" w:rsidRDefault="001867A9" w:rsidP="00327AA7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Zgodnie z kodeksem postępowania cywilnego, w zwykłym postępowaniu cywilnym procesowym strona może wnosić do sądu pisma procesowe:</w:t>
      </w:r>
    </w:p>
    <w:p w:rsidR="001867A9" w:rsidRPr="007D1A73" w:rsidRDefault="001867A9" w:rsidP="00327AA7">
      <w:pPr>
        <w:pStyle w:val="Akapitzlist"/>
        <w:numPr>
          <w:ilvl w:val="0"/>
          <w:numId w:val="14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 xml:space="preserve">za pośrednictwem systemu teleinformatycznego obsługującego postępowanie sądowe, jeżeli z przyczyn technicznych leżących po stronie sądu jest to możliwe, </w:t>
      </w:r>
    </w:p>
    <w:p w:rsidR="001867A9" w:rsidRPr="007D1A73" w:rsidRDefault="001867A9" w:rsidP="00327AA7">
      <w:pPr>
        <w:pStyle w:val="Akapitzlist"/>
        <w:numPr>
          <w:ilvl w:val="0"/>
          <w:numId w:val="14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na adres dla doręczeń elektroniczny sądu,</w:t>
      </w:r>
    </w:p>
    <w:p w:rsidR="001867A9" w:rsidRPr="007D1A73" w:rsidRDefault="001867A9" w:rsidP="00327AA7">
      <w:pPr>
        <w:pStyle w:val="Akapitzlist"/>
        <w:numPr>
          <w:ilvl w:val="0"/>
          <w:numId w:val="14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za pośrednictwem systemu teleinformatycznego operatora pocztowego.</w:t>
      </w:r>
    </w:p>
    <w:p w:rsidR="001867A9" w:rsidRPr="007D1A73" w:rsidRDefault="001867A9" w:rsidP="00327AA7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1867A9" w:rsidRPr="007D1A73" w:rsidRDefault="001867A9" w:rsidP="00327AA7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Zgodnie z kodeksem postępowania cywilnego, przyczyną odrzucenia pozwu jest:</w:t>
      </w:r>
    </w:p>
    <w:p w:rsidR="001867A9" w:rsidRPr="007D1A73" w:rsidRDefault="001867A9" w:rsidP="00327AA7">
      <w:pPr>
        <w:pStyle w:val="Akapitzlist"/>
        <w:numPr>
          <w:ilvl w:val="0"/>
          <w:numId w:val="15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brak legitymacji procesowej biernej pozwanego,</w:t>
      </w:r>
    </w:p>
    <w:p w:rsidR="001867A9" w:rsidRPr="007D1A73" w:rsidRDefault="001867A9" w:rsidP="00327AA7">
      <w:pPr>
        <w:pStyle w:val="Akapitzlist"/>
        <w:numPr>
          <w:ilvl w:val="0"/>
          <w:numId w:val="15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brak legitymacji procesowej czynnej powoda,</w:t>
      </w:r>
    </w:p>
    <w:p w:rsidR="001867A9" w:rsidRPr="007D1A73" w:rsidRDefault="001867A9" w:rsidP="00327AA7">
      <w:pPr>
        <w:pStyle w:val="Akapitzlist"/>
        <w:numPr>
          <w:ilvl w:val="0"/>
          <w:numId w:val="15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 xml:space="preserve">stan sprawy w toku między tymi samymi stronami o to samo roszczenie. </w:t>
      </w:r>
    </w:p>
    <w:p w:rsidR="001867A9" w:rsidRPr="007D1A73" w:rsidRDefault="001867A9" w:rsidP="00327AA7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1867A9" w:rsidRPr="007D1A73" w:rsidRDefault="001867A9" w:rsidP="00327AA7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1867A9" w:rsidRPr="007D1A73" w:rsidRDefault="001867A9" w:rsidP="00327AA7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Zgodnie z kodeksem postępowania cywilnego, sąd może wydać wyrok zaoczny:</w:t>
      </w:r>
    </w:p>
    <w:p w:rsidR="001867A9" w:rsidRPr="007D1A73" w:rsidRDefault="001867A9" w:rsidP="00327AA7">
      <w:pPr>
        <w:pStyle w:val="Akapitzlist"/>
        <w:numPr>
          <w:ilvl w:val="0"/>
          <w:numId w:val="16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tylko na rozprawie,</w:t>
      </w:r>
    </w:p>
    <w:p w:rsidR="001867A9" w:rsidRPr="007D1A73" w:rsidRDefault="001867A9" w:rsidP="00327AA7">
      <w:pPr>
        <w:pStyle w:val="Akapitzlist"/>
        <w:numPr>
          <w:ilvl w:val="0"/>
          <w:numId w:val="16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tylko na posiedzeniu niejawnym,</w:t>
      </w:r>
    </w:p>
    <w:p w:rsidR="001867A9" w:rsidRPr="007D1A73" w:rsidRDefault="001867A9" w:rsidP="00327AA7">
      <w:pPr>
        <w:pStyle w:val="Akapitzlist"/>
        <w:numPr>
          <w:ilvl w:val="0"/>
          <w:numId w:val="16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 xml:space="preserve">na rozprawie i na posiedzeniu niejawnym. </w:t>
      </w:r>
    </w:p>
    <w:p w:rsidR="001867A9" w:rsidRPr="007D1A73" w:rsidRDefault="001867A9" w:rsidP="00327AA7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1867A9" w:rsidRPr="007D1A73" w:rsidRDefault="001867A9" w:rsidP="00327AA7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Zgodnie z kodeksem postępowania cywilnego, w wypadku przedłużenia terminu do sporządzenia pisemnego uzasadnienia wyroku termin do wniesienia apelacji liczony od doręczenia stronie skarżącej wyroku z uzasadnieniem wynosi:</w:t>
      </w:r>
    </w:p>
    <w:p w:rsidR="001867A9" w:rsidRPr="007D1A73" w:rsidRDefault="001867A9" w:rsidP="00327AA7">
      <w:pPr>
        <w:pStyle w:val="Akapitzlist"/>
        <w:numPr>
          <w:ilvl w:val="0"/>
          <w:numId w:val="17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 xml:space="preserve">dwa tygodnie,  </w:t>
      </w:r>
    </w:p>
    <w:p w:rsidR="001867A9" w:rsidRPr="007D1A73" w:rsidRDefault="001867A9" w:rsidP="00327AA7">
      <w:pPr>
        <w:pStyle w:val="Akapitzlist"/>
        <w:numPr>
          <w:ilvl w:val="0"/>
          <w:numId w:val="17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 xml:space="preserve">trzy tygodnie, </w:t>
      </w:r>
    </w:p>
    <w:p w:rsidR="001867A9" w:rsidRPr="007D1A73" w:rsidRDefault="001867A9" w:rsidP="00327AA7">
      <w:pPr>
        <w:pStyle w:val="Akapitzlist"/>
        <w:numPr>
          <w:ilvl w:val="0"/>
          <w:numId w:val="17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cztery tygodnie.</w:t>
      </w:r>
    </w:p>
    <w:p w:rsidR="00A12695" w:rsidRDefault="001867A9" w:rsidP="00327AA7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67A9" w:rsidRPr="00A12695" w:rsidRDefault="001867A9" w:rsidP="00A126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67A9" w:rsidRPr="007D1A73" w:rsidRDefault="001867A9" w:rsidP="00327AA7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lastRenderedPageBreak/>
        <w:t>Zgodnie z kodeksem postępowania cywilnego, zażalenie na postanowienie sądu I instancji kończące postępowanie w sprawie jest rozpoznawane:</w:t>
      </w:r>
    </w:p>
    <w:p w:rsidR="001867A9" w:rsidRPr="007D1A73" w:rsidRDefault="001867A9" w:rsidP="00327AA7">
      <w:pPr>
        <w:pStyle w:val="Akapitzlist"/>
        <w:numPr>
          <w:ilvl w:val="0"/>
          <w:numId w:val="18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 xml:space="preserve">przez sąd drugiej instancji, </w:t>
      </w:r>
    </w:p>
    <w:p w:rsidR="001867A9" w:rsidRPr="007D1A73" w:rsidRDefault="001867A9" w:rsidP="00327AA7">
      <w:pPr>
        <w:pStyle w:val="Akapitzlist"/>
        <w:numPr>
          <w:ilvl w:val="0"/>
          <w:numId w:val="18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przez sąd pierwszej instancji (tzw. zażalenie poziome),</w:t>
      </w:r>
    </w:p>
    <w:p w:rsidR="001867A9" w:rsidRPr="007D1A73" w:rsidRDefault="001867A9" w:rsidP="00327AA7">
      <w:pPr>
        <w:pStyle w:val="Akapitzlist"/>
        <w:numPr>
          <w:ilvl w:val="0"/>
          <w:numId w:val="18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przez sąd I instancji, jeżeli postanowienie w tej instancji wydał sąd okręgowy (tzw. zażalenie poziome).</w:t>
      </w:r>
    </w:p>
    <w:p w:rsidR="001867A9" w:rsidRPr="007D1A73" w:rsidRDefault="001867A9" w:rsidP="00327AA7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1867A9" w:rsidRPr="007D1A73" w:rsidRDefault="001867A9" w:rsidP="00327AA7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Zgodnie z kodeksem postępowania cywilnego, w przypadku wniesienia skargi na orzeczenie referendarza sądowego, orzeczenie to:</w:t>
      </w:r>
    </w:p>
    <w:p w:rsidR="001867A9" w:rsidRPr="007D1A73" w:rsidRDefault="001867A9" w:rsidP="00327AA7">
      <w:pPr>
        <w:pStyle w:val="Akapitzlist"/>
        <w:numPr>
          <w:ilvl w:val="0"/>
          <w:numId w:val="19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w każdym przypadku traci moc,</w:t>
      </w:r>
    </w:p>
    <w:p w:rsidR="001867A9" w:rsidRPr="007D1A73" w:rsidRDefault="001867A9" w:rsidP="00327AA7">
      <w:pPr>
        <w:pStyle w:val="Akapitzlist"/>
        <w:numPr>
          <w:ilvl w:val="0"/>
          <w:numId w:val="19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w żadnym przypadku nie traci mocy,</w:t>
      </w:r>
    </w:p>
    <w:p w:rsidR="001867A9" w:rsidRDefault="001867A9" w:rsidP="00327AA7">
      <w:pPr>
        <w:pStyle w:val="Akapitzlist"/>
        <w:numPr>
          <w:ilvl w:val="0"/>
          <w:numId w:val="19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 xml:space="preserve">w pewnych przypadkach nie traci mocy. </w:t>
      </w:r>
    </w:p>
    <w:p w:rsidR="006B4982" w:rsidRPr="007D1A73" w:rsidRDefault="006B4982" w:rsidP="006B4982">
      <w:pPr>
        <w:pStyle w:val="Akapitzlist"/>
        <w:spacing w:after="0" w:line="360" w:lineRule="auto"/>
        <w:ind w:left="1077"/>
        <w:jc w:val="both"/>
        <w:rPr>
          <w:rFonts w:ascii="Times New Roman" w:hAnsi="Times New Roman" w:cs="Times New Roman"/>
          <w:sz w:val="24"/>
          <w:szCs w:val="24"/>
        </w:rPr>
      </w:pPr>
    </w:p>
    <w:p w:rsidR="007D1A73" w:rsidRPr="007D1A73" w:rsidRDefault="007D1A73" w:rsidP="00327AA7">
      <w:pPr>
        <w:spacing w:after="0" w:line="36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19.</w:t>
      </w:r>
      <w:r w:rsidRPr="007D1A73">
        <w:rPr>
          <w:rFonts w:ascii="Times New Roman" w:hAnsi="Times New Roman" w:cs="Times New Roman"/>
          <w:b/>
          <w:sz w:val="24"/>
          <w:szCs w:val="24"/>
        </w:rPr>
        <w:tab/>
      </w:r>
      <w:r w:rsidRPr="007D1A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Zgodnie z Kodeksem</w:t>
      </w:r>
      <w:r w:rsidRPr="007D1A73">
        <w:rPr>
          <w:rFonts w:ascii="Times New Roman" w:hAnsi="Times New Roman" w:cs="Times New Roman"/>
          <w:b/>
          <w:sz w:val="24"/>
          <w:szCs w:val="24"/>
        </w:rPr>
        <w:t xml:space="preserve"> karnym,</w:t>
      </w:r>
      <w:r w:rsidRPr="007D1A73">
        <w:rPr>
          <w:rFonts w:ascii="Times New Roman" w:hAnsi="Times New Roman" w:cs="Times New Roman"/>
          <w:sz w:val="24"/>
          <w:szCs w:val="24"/>
        </w:rPr>
        <w:t xml:space="preserve"> </w:t>
      </w:r>
      <w:r w:rsidRPr="007D1A73">
        <w:rPr>
          <w:rFonts w:ascii="Times New Roman" w:hAnsi="Times New Roman" w:cs="Times New Roman"/>
          <w:b/>
          <w:sz w:val="24"/>
          <w:szCs w:val="24"/>
        </w:rPr>
        <w:t>grzywnę wymierza się</w:t>
      </w:r>
      <w:r w:rsidRPr="007D1A73">
        <w:rPr>
          <w:rFonts w:ascii="Times New Roman" w:hAnsi="Times New Roman" w:cs="Times New Roman"/>
          <w:sz w:val="24"/>
          <w:szCs w:val="24"/>
        </w:rPr>
        <w:t>:</w:t>
      </w:r>
    </w:p>
    <w:p w:rsidR="007D1A73" w:rsidRPr="007D1A73" w:rsidRDefault="007D1A73" w:rsidP="006B4982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w stawkach dziennych, określając liczbę stawek oraz wysokość jednej stawki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D1A73">
        <w:rPr>
          <w:rFonts w:ascii="Times New Roman" w:hAnsi="Times New Roman" w:cs="Times New Roman"/>
          <w:sz w:val="24"/>
          <w:szCs w:val="24"/>
        </w:rPr>
        <w:t xml:space="preserve"> jeżeli </w:t>
      </w:r>
      <w:hyperlink r:id="rId7" w:history="1">
        <w:r w:rsidRPr="007D1A73">
          <w:rPr>
            <w:rFonts w:ascii="Times New Roman" w:hAnsi="Times New Roman" w:cs="Times New Roman"/>
            <w:sz w:val="24"/>
            <w:szCs w:val="24"/>
          </w:rPr>
          <w:t>ustawa</w:t>
        </w:r>
      </w:hyperlink>
      <w:r w:rsidRPr="007D1A73">
        <w:rPr>
          <w:rFonts w:ascii="Times New Roman" w:hAnsi="Times New Roman" w:cs="Times New Roman"/>
          <w:sz w:val="24"/>
          <w:szCs w:val="24"/>
        </w:rPr>
        <w:t xml:space="preserve"> nie stanowi inaczej, najniższa liczba stawek wynosi 10, zaś najwyższa 840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7D1A73" w:rsidRPr="007D1A73" w:rsidRDefault="007D1A73" w:rsidP="006B4982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 xml:space="preserve"> w stawkach dziennych, określając liczbę stawek oraz wysokość jednej stawki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D1A73">
        <w:rPr>
          <w:rFonts w:ascii="Times New Roman" w:hAnsi="Times New Roman" w:cs="Times New Roman"/>
          <w:sz w:val="24"/>
          <w:szCs w:val="24"/>
        </w:rPr>
        <w:t xml:space="preserve"> jeżeli </w:t>
      </w:r>
      <w:hyperlink r:id="rId8" w:history="1">
        <w:r w:rsidRPr="007D1A73">
          <w:rPr>
            <w:rFonts w:ascii="Times New Roman" w:hAnsi="Times New Roman" w:cs="Times New Roman"/>
            <w:sz w:val="24"/>
            <w:szCs w:val="24"/>
          </w:rPr>
          <w:t>ustawa</w:t>
        </w:r>
      </w:hyperlink>
      <w:r w:rsidRPr="007D1A73">
        <w:rPr>
          <w:rFonts w:ascii="Times New Roman" w:hAnsi="Times New Roman" w:cs="Times New Roman"/>
          <w:sz w:val="24"/>
          <w:szCs w:val="24"/>
        </w:rPr>
        <w:t xml:space="preserve"> nie stanowi inaczej, najniższa liczba stawek wynosi 10, zaś najwyższa 540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7D1A73" w:rsidRPr="007D1A73" w:rsidRDefault="007D1A73" w:rsidP="006B4982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w stawkach dziennych, określając liczbę stawek oraz wysokość jednej stawki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D1A73">
        <w:rPr>
          <w:rFonts w:ascii="Times New Roman" w:hAnsi="Times New Roman" w:cs="Times New Roman"/>
          <w:sz w:val="24"/>
          <w:szCs w:val="24"/>
        </w:rPr>
        <w:t xml:space="preserve"> jeżeli </w:t>
      </w:r>
      <w:hyperlink r:id="rId9" w:history="1">
        <w:r w:rsidRPr="007D1A73">
          <w:rPr>
            <w:rFonts w:ascii="Times New Roman" w:hAnsi="Times New Roman" w:cs="Times New Roman"/>
            <w:sz w:val="24"/>
            <w:szCs w:val="24"/>
          </w:rPr>
          <w:t>ustawa</w:t>
        </w:r>
      </w:hyperlink>
      <w:r w:rsidRPr="007D1A73">
        <w:rPr>
          <w:rFonts w:ascii="Times New Roman" w:hAnsi="Times New Roman" w:cs="Times New Roman"/>
          <w:sz w:val="24"/>
          <w:szCs w:val="24"/>
        </w:rPr>
        <w:t xml:space="preserve"> nie stanowi inaczej, najniższa liczba stawek wynosi 20, zaś najwyższa 540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D1A73" w:rsidRPr="007D1A73" w:rsidRDefault="007D1A73" w:rsidP="00327AA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1A73" w:rsidRPr="007D1A73" w:rsidRDefault="007D1A73" w:rsidP="00327AA7">
      <w:pPr>
        <w:spacing w:after="0" w:line="36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20.</w:t>
      </w:r>
      <w:r w:rsidRPr="007D1A73">
        <w:rPr>
          <w:rFonts w:ascii="Times New Roman" w:hAnsi="Times New Roman" w:cs="Times New Roman"/>
          <w:b/>
          <w:sz w:val="24"/>
          <w:szCs w:val="24"/>
        </w:rPr>
        <w:tab/>
        <w:t>Zgodnie z Kodeksem karnym, występkiem jest czyn zabroniony</w:t>
      </w:r>
      <w:r w:rsidRPr="007D1A73">
        <w:rPr>
          <w:rFonts w:ascii="Times New Roman" w:hAnsi="Times New Roman" w:cs="Times New Roman"/>
          <w:sz w:val="24"/>
          <w:szCs w:val="24"/>
        </w:rPr>
        <w:t>:</w:t>
      </w:r>
    </w:p>
    <w:p w:rsidR="007D1A73" w:rsidRPr="007D1A73" w:rsidRDefault="007D1A73" w:rsidP="006B4982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zagrożony grzywną powyżej 30 stawek dziennych albo powyżej 5000 złotych, karą ograniczenia wolności przekraczającą miesiąc albo karą pozbawienia wolności przekraczającą miesiąc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7D1A73" w:rsidRPr="007D1A73" w:rsidRDefault="007D1A73" w:rsidP="006B4982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zagrożony grzywną powyżej 10 stawek dziennych, karą ograniczenia wolności przekraczającą miesiąc albo karą pozbawienia wolności przekraczającą miesiąc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7D1A73" w:rsidRPr="007D1A73" w:rsidRDefault="007D1A73" w:rsidP="006B4982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1A73">
        <w:rPr>
          <w:rFonts w:ascii="Times New Roman" w:hAnsi="Times New Roman" w:cs="Times New Roman"/>
          <w:sz w:val="24"/>
          <w:szCs w:val="24"/>
        </w:rPr>
        <w:t>zagrożony grzywną powyżej 30 stawek dziennych, karą ograniczenia wolności  albo karą pozbawienia wolności przekraczającą miesiąc.</w:t>
      </w:r>
    </w:p>
    <w:p w:rsidR="007D1A73" w:rsidRPr="007D1A73" w:rsidRDefault="007D1A73" w:rsidP="00327AA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1A73" w:rsidRPr="007D1A73" w:rsidRDefault="007D1A73" w:rsidP="00327AA7">
      <w:pPr>
        <w:spacing w:after="0" w:line="360" w:lineRule="auto"/>
        <w:ind w:left="567" w:hanging="567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21.</w:t>
      </w:r>
      <w:r w:rsidRPr="007D1A73">
        <w:rPr>
          <w:rFonts w:ascii="Times New Roman" w:hAnsi="Times New Roman" w:cs="Times New Roman"/>
          <w:b/>
          <w:sz w:val="24"/>
          <w:szCs w:val="24"/>
        </w:rPr>
        <w:tab/>
        <w:t>Zgodnie z Kodeksem karnym, sąd wymierzając karę za podżeganie, orzeka</w:t>
      </w:r>
      <w:r w:rsidRPr="007D1A73">
        <w:rPr>
          <w:rFonts w:ascii="Times New Roman" w:hAnsi="Times New Roman" w:cs="Times New Roman"/>
          <w:sz w:val="24"/>
          <w:szCs w:val="24"/>
        </w:rPr>
        <w:t>:</w:t>
      </w:r>
    </w:p>
    <w:p w:rsidR="007D1A73" w:rsidRPr="007D1A73" w:rsidRDefault="007D1A73" w:rsidP="006B4982">
      <w:pPr>
        <w:pStyle w:val="Akapitzlist"/>
        <w:numPr>
          <w:ilvl w:val="0"/>
          <w:numId w:val="2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w granicach zagrożenia przewid</w:t>
      </w:r>
      <w:r>
        <w:rPr>
          <w:rFonts w:ascii="Times New Roman" w:hAnsi="Times New Roman" w:cs="Times New Roman"/>
          <w:sz w:val="24"/>
          <w:szCs w:val="24"/>
        </w:rPr>
        <w:t>zianego dla danego przestępstwa,</w:t>
      </w:r>
    </w:p>
    <w:p w:rsidR="007D1A73" w:rsidRPr="007D1A73" w:rsidRDefault="007D1A73" w:rsidP="006B4982">
      <w:pPr>
        <w:pStyle w:val="Akapitzlist"/>
        <w:numPr>
          <w:ilvl w:val="0"/>
          <w:numId w:val="2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bookmarkStart w:id="3" w:name="mip55394309"/>
      <w:bookmarkEnd w:id="3"/>
      <w:r w:rsidRPr="007D1A73">
        <w:rPr>
          <w:rFonts w:ascii="Times New Roman" w:hAnsi="Times New Roman" w:cs="Times New Roman"/>
          <w:sz w:val="24"/>
          <w:szCs w:val="24"/>
        </w:rPr>
        <w:t xml:space="preserve">stosując </w:t>
      </w:r>
      <w:hyperlink r:id="rId10" w:history="1">
        <w:r w:rsidRPr="007D1A73">
          <w:rPr>
            <w:rFonts w:ascii="Times New Roman" w:hAnsi="Times New Roman" w:cs="Times New Roman"/>
            <w:sz w:val="24"/>
            <w:szCs w:val="24"/>
          </w:rPr>
          <w:t>nadzwyczajne złagodzenie kary</w:t>
        </w:r>
      </w:hyperlink>
      <w:r w:rsidRPr="007D1A73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7D1A73" w:rsidRPr="007D1A73" w:rsidRDefault="007D1A73" w:rsidP="006B4982">
      <w:pPr>
        <w:pStyle w:val="Akapitzlist"/>
        <w:numPr>
          <w:ilvl w:val="0"/>
          <w:numId w:val="2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odstępując od jej wymierzenia.</w:t>
      </w:r>
    </w:p>
    <w:p w:rsidR="007D1A73" w:rsidRPr="007D1A73" w:rsidRDefault="007D1A73" w:rsidP="00327AA7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1A73" w:rsidRPr="007D1A73" w:rsidRDefault="007D1A73" w:rsidP="00327AA7">
      <w:pPr>
        <w:spacing w:after="0" w:line="360" w:lineRule="auto"/>
        <w:ind w:left="567" w:hanging="567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22.</w:t>
      </w:r>
      <w:r w:rsidRPr="007D1A73">
        <w:rPr>
          <w:rFonts w:ascii="Times New Roman" w:hAnsi="Times New Roman" w:cs="Times New Roman"/>
          <w:b/>
          <w:sz w:val="24"/>
          <w:szCs w:val="24"/>
        </w:rPr>
        <w:tab/>
        <w:t>Zawarty w kodeksie karnym katalog kar przewiduje:</w:t>
      </w:r>
    </w:p>
    <w:p w:rsidR="007D1A73" w:rsidRPr="007D1A73" w:rsidRDefault="007D1A73" w:rsidP="006B4982">
      <w:pPr>
        <w:pStyle w:val="Akapitzlist"/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grzywnę;</w:t>
      </w:r>
      <w:bookmarkStart w:id="4" w:name="mip61666059"/>
      <w:bookmarkEnd w:id="4"/>
      <w:r w:rsidRPr="007D1A73">
        <w:rPr>
          <w:rFonts w:ascii="Times New Roman" w:hAnsi="Times New Roman" w:cs="Times New Roman"/>
          <w:sz w:val="24"/>
          <w:szCs w:val="24"/>
        </w:rPr>
        <w:t xml:space="preserve"> ograniczenie wolności;</w:t>
      </w:r>
      <w:bookmarkStart w:id="5" w:name="mip61666060"/>
      <w:bookmarkEnd w:id="5"/>
      <w:r w:rsidRPr="007D1A73">
        <w:rPr>
          <w:rFonts w:ascii="Times New Roman" w:hAnsi="Times New Roman" w:cs="Times New Roman"/>
          <w:sz w:val="24"/>
          <w:szCs w:val="24"/>
        </w:rPr>
        <w:t xml:space="preserve"> pozbawienie wolności;</w:t>
      </w:r>
      <w:bookmarkStart w:id="6" w:name="mip61666061"/>
      <w:bookmarkEnd w:id="6"/>
      <w:r w:rsidRPr="007D1A73">
        <w:rPr>
          <w:rFonts w:ascii="Times New Roman" w:hAnsi="Times New Roman" w:cs="Times New Roman"/>
          <w:sz w:val="24"/>
          <w:szCs w:val="24"/>
        </w:rPr>
        <w:t xml:space="preserve"> 15 lat pozbawienia wolności, 25 lat pozbawienia wolności;</w:t>
      </w:r>
      <w:bookmarkStart w:id="7" w:name="mip61666062"/>
      <w:bookmarkEnd w:id="7"/>
      <w:r w:rsidRPr="007D1A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dożywotnie pozbawienie wolności,</w:t>
      </w:r>
    </w:p>
    <w:p w:rsidR="007D1A73" w:rsidRPr="007D1A73" w:rsidRDefault="007D1A73" w:rsidP="006B4982">
      <w:pPr>
        <w:pStyle w:val="Akapitzlist"/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grzywnę; ograniczenie wolności; pozbawienie wolności; 25 lat pozbawienia wolności; dożywotnie pozbawienie wolności,</w:t>
      </w:r>
    </w:p>
    <w:p w:rsidR="007D1A73" w:rsidRPr="007D1A73" w:rsidRDefault="007D1A73" w:rsidP="006B4982">
      <w:pPr>
        <w:pStyle w:val="Akapitzlist"/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grzywnę; ograniczenie wolności; pozbawienie wolności; dożywotnie pozbawienie wolności.</w:t>
      </w:r>
    </w:p>
    <w:p w:rsidR="007D1A73" w:rsidRPr="007D1A73" w:rsidRDefault="007D1A73" w:rsidP="00327AA7">
      <w:pPr>
        <w:pStyle w:val="Akapitzlist"/>
        <w:spacing w:after="0" w:line="360" w:lineRule="auto"/>
        <w:ind w:left="106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1A73" w:rsidRPr="007D1A73" w:rsidRDefault="007D1A73" w:rsidP="00327AA7">
      <w:pPr>
        <w:spacing w:after="0" w:line="360" w:lineRule="auto"/>
        <w:ind w:left="567" w:hanging="567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23.</w:t>
      </w:r>
      <w:r w:rsidRPr="007D1A73">
        <w:rPr>
          <w:rFonts w:ascii="Times New Roman" w:hAnsi="Times New Roman" w:cs="Times New Roman"/>
          <w:b/>
          <w:sz w:val="24"/>
          <w:szCs w:val="24"/>
        </w:rPr>
        <w:tab/>
        <w:t>Zgodnie z Kodeksem karnym:</w:t>
      </w:r>
    </w:p>
    <w:p w:rsidR="007D1A73" w:rsidRPr="007D1A73" w:rsidRDefault="007D1A73" w:rsidP="006B4982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środkiem karnym nie jest zakaz wstępu na imprezę masową,</w:t>
      </w:r>
    </w:p>
    <w:p w:rsidR="007D1A73" w:rsidRPr="007D1A73" w:rsidRDefault="007D1A73" w:rsidP="006B4982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 xml:space="preserve">środkiem karnym jest zakaz wstępu na imprezę masową, zakaz wstępu do ośrodków gier i uczestnictwa w grach hazardowych, a także świadczenie pieniężne. </w:t>
      </w:r>
    </w:p>
    <w:p w:rsidR="007D1A73" w:rsidRPr="007D1A73" w:rsidRDefault="007D1A73" w:rsidP="006B4982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środkiem karnym nie jest świadczenie pieniężne,</w:t>
      </w:r>
    </w:p>
    <w:p w:rsidR="007D1A73" w:rsidRPr="007D1A73" w:rsidRDefault="007D1A73" w:rsidP="00327AA7">
      <w:pPr>
        <w:pStyle w:val="Akapitzlist"/>
        <w:spacing w:after="0" w:line="360" w:lineRule="auto"/>
        <w:ind w:left="1352"/>
        <w:jc w:val="both"/>
        <w:rPr>
          <w:rFonts w:ascii="Times New Roman" w:hAnsi="Times New Roman" w:cs="Times New Roman"/>
          <w:sz w:val="24"/>
          <w:szCs w:val="24"/>
        </w:rPr>
      </w:pPr>
    </w:p>
    <w:p w:rsidR="007D1A73" w:rsidRPr="007D1A73" w:rsidRDefault="007D1A73" w:rsidP="00327AA7">
      <w:pPr>
        <w:spacing w:after="0" w:line="360" w:lineRule="auto"/>
        <w:ind w:left="567" w:hanging="567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24.</w:t>
      </w:r>
      <w:r w:rsidRPr="007D1A73">
        <w:rPr>
          <w:rFonts w:ascii="Times New Roman" w:hAnsi="Times New Roman" w:cs="Times New Roman"/>
          <w:b/>
          <w:sz w:val="24"/>
          <w:szCs w:val="24"/>
        </w:rPr>
        <w:tab/>
        <w:t>Zgodnie z Kodeksem karnym:</w:t>
      </w:r>
    </w:p>
    <w:p w:rsidR="007D1A73" w:rsidRPr="007D1A73" w:rsidRDefault="007D1A73" w:rsidP="006B4982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1A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Sąd orzeka zakaz prowadzenia wszelkich pojazdów mechanicznych dożywotnio w razie popełnienia przestępstwa określonego w </w:t>
      </w:r>
      <w:hyperlink r:id="rId11" w:history="1">
        <w:r w:rsidRPr="007D1A73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art. 178a § 4</w:t>
        </w:r>
      </w:hyperlink>
      <w:r w:rsidRPr="007D1A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kk albo wobec osoby, która w czasie popełnienia przestępstwa określonego w </w:t>
      </w:r>
      <w:hyperlink r:id="rId12" w:history="1">
        <w:r w:rsidRPr="007D1A73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art. 177 § 2</w:t>
        </w:r>
      </w:hyperlink>
      <w:r w:rsidRPr="007D1A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kk była w stanie nietrzeźwości lub pod wpływem środka odurzającego lub zbiegła z miejsca zdarzenia, chyba że zachodzi wyjątkowy wypadek, uzasadniony szczególnymi okolicznościami</w:t>
      </w:r>
      <w:bookmarkStart w:id="8" w:name="mip61666150"/>
      <w:bookmarkEnd w:id="8"/>
      <w:r w:rsidR="006B498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7D1A73" w:rsidRPr="007D1A73" w:rsidRDefault="007D1A73" w:rsidP="006B4982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1A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Sąd może orzec zakaz prowadzenia wszelkich pojazdów mechanicznych dożywotnio w razie ponownego skazania osoby prowadzącej pojazd mechaniczny i popełnienia przestępstwa określonego w </w:t>
      </w:r>
      <w:hyperlink r:id="rId13" w:history="1">
        <w:r w:rsidRPr="007D1A73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art. 178a § 4</w:t>
        </w:r>
      </w:hyperlink>
      <w:r w:rsidRPr="007D1A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kk</w:t>
      </w:r>
      <w:r w:rsidR="006B498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7D1A73" w:rsidRPr="007D1A73" w:rsidRDefault="007D1A73" w:rsidP="006B4982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1A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Sąd może orzec zakaz prowadzenia wszelkich pojazdów mechanicznych dożywotnio w razie popełnienia przestępstwa określonego w </w:t>
      </w:r>
      <w:hyperlink r:id="rId14" w:history="1">
        <w:r w:rsidRPr="007D1A73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art. 177 § 2</w:t>
        </w:r>
      </w:hyperlink>
      <w:r w:rsidRPr="007D1A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kk </w:t>
      </w:r>
      <w:r w:rsidR="006B498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D1A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stanie nietrzeźwości lub pod wpływem środka odurzającego lub ucieczki </w:t>
      </w:r>
      <w:r w:rsidR="006B498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D1A73">
        <w:rPr>
          <w:rFonts w:ascii="Times New Roman" w:eastAsia="Times New Roman" w:hAnsi="Times New Roman" w:cs="Times New Roman"/>
          <w:sz w:val="24"/>
          <w:szCs w:val="24"/>
          <w:lang w:eastAsia="pl-PL"/>
        </w:rPr>
        <w:t>z miejsca zdarzenia</w:t>
      </w:r>
      <w:r w:rsidR="006B498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7D1A73" w:rsidRPr="007D1A73" w:rsidRDefault="00A12695" w:rsidP="00327AA7">
      <w:pPr>
        <w:spacing w:after="0" w:line="360" w:lineRule="auto"/>
        <w:ind w:left="567" w:hanging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column"/>
      </w:r>
      <w:r w:rsidR="007D1A73" w:rsidRPr="007D1A73">
        <w:rPr>
          <w:rFonts w:ascii="Times New Roman" w:hAnsi="Times New Roman" w:cs="Times New Roman"/>
          <w:b/>
          <w:sz w:val="24"/>
          <w:szCs w:val="24"/>
        </w:rPr>
        <w:lastRenderedPageBreak/>
        <w:t>25.</w:t>
      </w:r>
      <w:r w:rsidR="007D1A73" w:rsidRPr="007D1A73">
        <w:rPr>
          <w:rFonts w:ascii="Times New Roman" w:hAnsi="Times New Roman" w:cs="Times New Roman"/>
          <w:b/>
          <w:sz w:val="24"/>
          <w:szCs w:val="24"/>
        </w:rPr>
        <w:tab/>
        <w:t xml:space="preserve">Zgodnie z Kodeksem karnym, skazując za występek o charakterze </w:t>
      </w:r>
      <w:hyperlink r:id="rId15" w:history="1">
        <w:r w:rsidR="007D1A73" w:rsidRPr="007D1A73">
          <w:rPr>
            <w:rFonts w:ascii="Times New Roman" w:hAnsi="Times New Roman" w:cs="Times New Roman"/>
            <w:b/>
            <w:sz w:val="24"/>
            <w:szCs w:val="24"/>
          </w:rPr>
          <w:t>chuligańskim</w:t>
        </w:r>
      </w:hyperlink>
      <w:r w:rsidR="007D1A73" w:rsidRPr="007D1A73">
        <w:rPr>
          <w:rFonts w:ascii="Times New Roman" w:hAnsi="Times New Roman" w:cs="Times New Roman"/>
          <w:b/>
          <w:sz w:val="24"/>
          <w:szCs w:val="24"/>
        </w:rPr>
        <w:t xml:space="preserve">, sąd: </w:t>
      </w:r>
    </w:p>
    <w:p w:rsidR="007D1A73" w:rsidRPr="007D1A73" w:rsidRDefault="007D1A73" w:rsidP="006B4982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wymierza karę przewidzianą za przypisane sprawcy przestępstwo w wysokości nie niższej od dolnej granicy ustawowego zagrożenia zwiększonego o połowę;</w:t>
      </w:r>
    </w:p>
    <w:p w:rsidR="007D1A73" w:rsidRPr="007D1A73" w:rsidRDefault="007D1A73" w:rsidP="006B4982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 xml:space="preserve">może wymierzyć karę przewidzianą za przypisane sprawcy przestępstwo </w:t>
      </w:r>
      <w:r w:rsidR="006B4982">
        <w:rPr>
          <w:rFonts w:ascii="Times New Roman" w:hAnsi="Times New Roman" w:cs="Times New Roman"/>
          <w:sz w:val="24"/>
          <w:szCs w:val="24"/>
        </w:rPr>
        <w:br/>
      </w:r>
      <w:r w:rsidRPr="007D1A73">
        <w:rPr>
          <w:rFonts w:ascii="Times New Roman" w:hAnsi="Times New Roman" w:cs="Times New Roman"/>
          <w:sz w:val="24"/>
          <w:szCs w:val="24"/>
        </w:rPr>
        <w:t xml:space="preserve">w wysokości nie niższej od dolnej granicy ustawowego zagrożenia zwiększonego o połowę, </w:t>
      </w:r>
    </w:p>
    <w:p w:rsidR="007D1A73" w:rsidRPr="007D1A73" w:rsidRDefault="007D1A73" w:rsidP="006B4982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 xml:space="preserve">może wymierzyć karę przewidzianą za przypisane sprawcy przestępstwo </w:t>
      </w:r>
      <w:r w:rsidR="006B4982">
        <w:rPr>
          <w:rFonts w:ascii="Times New Roman" w:hAnsi="Times New Roman" w:cs="Times New Roman"/>
          <w:sz w:val="24"/>
          <w:szCs w:val="24"/>
        </w:rPr>
        <w:br/>
      </w:r>
      <w:r w:rsidRPr="007D1A73">
        <w:rPr>
          <w:rFonts w:ascii="Times New Roman" w:hAnsi="Times New Roman" w:cs="Times New Roman"/>
          <w:sz w:val="24"/>
          <w:szCs w:val="24"/>
        </w:rPr>
        <w:t xml:space="preserve">w wysokości do górnej granicy ustawowego zagrożenia zwiększonego o połowę, </w:t>
      </w:r>
    </w:p>
    <w:p w:rsidR="007D1A73" w:rsidRPr="007D1A73" w:rsidRDefault="007D1A73" w:rsidP="00327AA7">
      <w:pPr>
        <w:pStyle w:val="Akapitzlist"/>
        <w:spacing w:after="0" w:line="360" w:lineRule="auto"/>
        <w:ind w:left="1352"/>
        <w:rPr>
          <w:rFonts w:ascii="Times New Roman" w:hAnsi="Times New Roman" w:cs="Times New Roman"/>
          <w:sz w:val="24"/>
          <w:szCs w:val="24"/>
        </w:rPr>
      </w:pPr>
    </w:p>
    <w:p w:rsidR="007D1A73" w:rsidRPr="007D1A73" w:rsidRDefault="007D1A73" w:rsidP="00327AA7">
      <w:p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26.</w:t>
      </w:r>
      <w:r w:rsidRPr="007D1A73">
        <w:rPr>
          <w:rFonts w:ascii="Times New Roman" w:hAnsi="Times New Roman" w:cs="Times New Roman"/>
          <w:b/>
          <w:sz w:val="24"/>
          <w:szCs w:val="24"/>
        </w:rPr>
        <w:tab/>
        <w:t>Zgodnie z Kodeksem karnym,</w:t>
      </w:r>
      <w:r w:rsidRPr="007D1A73">
        <w:rPr>
          <w:rFonts w:ascii="Times New Roman" w:hAnsi="Times New Roman" w:cs="Times New Roman"/>
          <w:sz w:val="24"/>
          <w:szCs w:val="24"/>
        </w:rPr>
        <w:t xml:space="preserve"> </w:t>
      </w:r>
      <w:r w:rsidRPr="007D1A73">
        <w:rPr>
          <w:rFonts w:ascii="Times New Roman" w:hAnsi="Times New Roman" w:cs="Times New Roman"/>
          <w:b/>
          <w:sz w:val="24"/>
          <w:szCs w:val="24"/>
        </w:rPr>
        <w:t>sąd:</w:t>
      </w:r>
    </w:p>
    <w:p w:rsidR="007D1A73" w:rsidRPr="007D1A73" w:rsidRDefault="007D1A73" w:rsidP="006B4982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orzeka, przepadek przedmiotów, które służyły lub były przeznacz</w:t>
      </w:r>
      <w:r w:rsidR="006B4982">
        <w:rPr>
          <w:rFonts w:ascii="Times New Roman" w:hAnsi="Times New Roman" w:cs="Times New Roman"/>
          <w:sz w:val="24"/>
          <w:szCs w:val="24"/>
        </w:rPr>
        <w:t>one do popełnienia przestępstwa,</w:t>
      </w:r>
    </w:p>
    <w:p w:rsidR="007D1A73" w:rsidRPr="007D1A73" w:rsidRDefault="007D1A73" w:rsidP="006B4982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może orzec przepadek przedmiotów, które służyły lub były przeznacz</w:t>
      </w:r>
      <w:r w:rsidR="006B4982">
        <w:rPr>
          <w:rFonts w:ascii="Times New Roman" w:hAnsi="Times New Roman" w:cs="Times New Roman"/>
          <w:sz w:val="24"/>
          <w:szCs w:val="24"/>
        </w:rPr>
        <w:t>one do popełnienia przestępstwa,</w:t>
      </w:r>
    </w:p>
    <w:p w:rsidR="007D1A73" w:rsidRDefault="007D1A73" w:rsidP="006B4982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 xml:space="preserve">może orzec, a w wypadkach wskazanych w </w:t>
      </w:r>
      <w:hyperlink r:id="rId16" w:history="1">
        <w:r w:rsidRPr="007D1A73">
          <w:rPr>
            <w:rFonts w:ascii="Times New Roman" w:hAnsi="Times New Roman" w:cs="Times New Roman"/>
            <w:sz w:val="24"/>
            <w:szCs w:val="24"/>
          </w:rPr>
          <w:t>ustawie</w:t>
        </w:r>
      </w:hyperlink>
      <w:r w:rsidRPr="007D1A73">
        <w:rPr>
          <w:rFonts w:ascii="Times New Roman" w:hAnsi="Times New Roman" w:cs="Times New Roman"/>
          <w:sz w:val="24"/>
          <w:szCs w:val="24"/>
        </w:rPr>
        <w:t xml:space="preserve"> orzeka, przepadek przedmiotów, które służyły lub były przeznaczone do popełnienia przestępstwa.</w:t>
      </w:r>
    </w:p>
    <w:p w:rsidR="006B4982" w:rsidRPr="007D1A73" w:rsidRDefault="006B4982" w:rsidP="006B4982">
      <w:pPr>
        <w:pStyle w:val="Akapitzlist"/>
        <w:spacing w:after="0" w:line="360" w:lineRule="auto"/>
        <w:ind w:left="1287"/>
        <w:jc w:val="both"/>
        <w:rPr>
          <w:rFonts w:ascii="Times New Roman" w:hAnsi="Times New Roman" w:cs="Times New Roman"/>
          <w:sz w:val="24"/>
          <w:szCs w:val="24"/>
        </w:rPr>
      </w:pPr>
    </w:p>
    <w:p w:rsidR="007D1A73" w:rsidRPr="007D1A73" w:rsidRDefault="007D1A73" w:rsidP="00327AA7">
      <w:p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27.</w:t>
      </w:r>
      <w:r w:rsidRPr="007D1A73">
        <w:rPr>
          <w:rFonts w:ascii="Times New Roman" w:hAnsi="Times New Roman" w:cs="Times New Roman"/>
          <w:b/>
          <w:sz w:val="24"/>
          <w:szCs w:val="24"/>
        </w:rPr>
        <w:tab/>
        <w:t xml:space="preserve">Aktualna treść art. 85 Kodeksu Karnego jest efektem </w:t>
      </w:r>
      <w:r w:rsidRPr="007D1A73">
        <w:rPr>
          <w:rFonts w:ascii="Times New Roman" w:hAnsi="Times New Roman" w:cs="Times New Roman"/>
          <w:b/>
          <w:bCs/>
          <w:sz w:val="24"/>
          <w:szCs w:val="24"/>
        </w:rPr>
        <w:t>trzykrotnej nowelizacji</w:t>
      </w:r>
      <w:r w:rsidRPr="007D1A73">
        <w:rPr>
          <w:rFonts w:ascii="Times New Roman" w:hAnsi="Times New Roman" w:cs="Times New Roman"/>
          <w:b/>
          <w:sz w:val="24"/>
          <w:szCs w:val="24"/>
        </w:rPr>
        <w:t xml:space="preserve"> jego początkowej wersji - istotne zmiany wprowadzono w 2015 roku, a następnie </w:t>
      </w:r>
      <w:r w:rsidR="006B4982">
        <w:rPr>
          <w:rFonts w:ascii="Times New Roman" w:hAnsi="Times New Roman" w:cs="Times New Roman"/>
          <w:b/>
          <w:sz w:val="24"/>
          <w:szCs w:val="24"/>
        </w:rPr>
        <w:br/>
      </w:r>
      <w:r w:rsidRPr="007D1A73">
        <w:rPr>
          <w:rFonts w:ascii="Times New Roman" w:hAnsi="Times New Roman" w:cs="Times New Roman"/>
          <w:b/>
          <w:sz w:val="24"/>
          <w:szCs w:val="24"/>
        </w:rPr>
        <w:t xml:space="preserve">w </w:t>
      </w:r>
      <w:r w:rsidRPr="007D1A73">
        <w:rPr>
          <w:rFonts w:ascii="Times New Roman" w:hAnsi="Times New Roman" w:cs="Times New Roman"/>
          <w:b/>
          <w:i/>
          <w:sz w:val="24"/>
          <w:szCs w:val="24"/>
        </w:rPr>
        <w:t>ustawie z dnia 19 czerwca 2021 r. o dopłatach do oprocentowania kredytów bankowych udzielanych przedsiębiorcom dotkniętych skutkami Covid-19</w:t>
      </w:r>
      <w:r w:rsidRPr="007D1A73">
        <w:rPr>
          <w:rFonts w:ascii="Times New Roman" w:hAnsi="Times New Roman" w:cs="Times New Roman"/>
          <w:b/>
          <w:sz w:val="24"/>
          <w:szCs w:val="24"/>
        </w:rPr>
        <w:t xml:space="preserve">, które to przepisy weszły w życie w dniu 24 czerwca 2020 roku. Zgodnie z obecną regulacją: </w:t>
      </w:r>
    </w:p>
    <w:p w:rsidR="007D1A73" w:rsidRPr="007D1A73" w:rsidRDefault="007D1A73" w:rsidP="006B4982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9" w:name="mip52436698"/>
      <w:bookmarkEnd w:id="9"/>
      <w:r w:rsidRPr="007D1A73">
        <w:rPr>
          <w:rFonts w:ascii="Times New Roman" w:hAnsi="Times New Roman" w:cs="Times New Roman"/>
          <w:sz w:val="24"/>
          <w:szCs w:val="24"/>
        </w:rPr>
        <w:t xml:space="preserve">sąd orzeka karę łączną jeżeli sprawca popełnił dwa lub więcej przestępstw, zanim zapadł pierwszy wyrok, chociażby nieprawomocny, co do któregokolwiek z tych przestępstw i wymierzono za nie kary tego samego rodzaju albo inne podlegające łączeniu, </w:t>
      </w:r>
    </w:p>
    <w:p w:rsidR="007D1A73" w:rsidRPr="007D1A73" w:rsidRDefault="007D1A73" w:rsidP="006B4982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 xml:space="preserve">sąd orzeka karę łączną jeżeli sprawca popełnił dwa lub więcej przestępstw </w:t>
      </w:r>
      <w:r w:rsidR="006B4982">
        <w:rPr>
          <w:rFonts w:ascii="Times New Roman" w:hAnsi="Times New Roman" w:cs="Times New Roman"/>
          <w:sz w:val="24"/>
          <w:szCs w:val="24"/>
        </w:rPr>
        <w:br/>
      </w:r>
      <w:r w:rsidRPr="007D1A73">
        <w:rPr>
          <w:rFonts w:ascii="Times New Roman" w:hAnsi="Times New Roman" w:cs="Times New Roman"/>
          <w:sz w:val="24"/>
          <w:szCs w:val="24"/>
        </w:rPr>
        <w:t>i wymierzono za nie kary tego samego rodzaju albo inne podlegające łączeniu</w:t>
      </w:r>
      <w:r w:rsidR="006B4982">
        <w:rPr>
          <w:rFonts w:ascii="Times New Roman" w:hAnsi="Times New Roman" w:cs="Times New Roman"/>
          <w:sz w:val="24"/>
          <w:szCs w:val="24"/>
        </w:rPr>
        <w:br/>
      </w:r>
      <w:r w:rsidRPr="007D1A73">
        <w:rPr>
          <w:rFonts w:ascii="Times New Roman" w:hAnsi="Times New Roman" w:cs="Times New Roman"/>
          <w:sz w:val="24"/>
          <w:szCs w:val="24"/>
        </w:rPr>
        <w:t>i wykonaniu</w:t>
      </w:r>
      <w:r w:rsidR="006B4982">
        <w:rPr>
          <w:rFonts w:ascii="Times New Roman" w:hAnsi="Times New Roman" w:cs="Times New Roman"/>
          <w:sz w:val="24"/>
          <w:szCs w:val="24"/>
        </w:rPr>
        <w:t>,</w:t>
      </w:r>
    </w:p>
    <w:p w:rsidR="007D1A73" w:rsidRPr="007D1A73" w:rsidRDefault="007D1A73" w:rsidP="006B4982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uchylono instytucję kary łącznej.</w:t>
      </w:r>
    </w:p>
    <w:p w:rsidR="007D1A73" w:rsidRPr="007D1A73" w:rsidRDefault="00A12695" w:rsidP="00327AA7">
      <w:pPr>
        <w:spacing w:after="0" w:line="360" w:lineRule="auto"/>
        <w:ind w:left="567" w:hanging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 w:rsidR="007D1A73" w:rsidRPr="007D1A73">
        <w:rPr>
          <w:rFonts w:ascii="Times New Roman" w:hAnsi="Times New Roman" w:cs="Times New Roman"/>
          <w:b/>
          <w:sz w:val="24"/>
          <w:szCs w:val="24"/>
        </w:rPr>
        <w:t>28.</w:t>
      </w:r>
      <w:r w:rsidR="007D1A73" w:rsidRPr="007D1A73">
        <w:rPr>
          <w:rFonts w:ascii="Times New Roman" w:hAnsi="Times New Roman" w:cs="Times New Roman"/>
          <w:b/>
          <w:sz w:val="24"/>
          <w:szCs w:val="24"/>
        </w:rPr>
        <w:tab/>
        <w:t>Zgodnie z Kodeksem postępowania karnego:</w:t>
      </w:r>
    </w:p>
    <w:p w:rsidR="007D1A73" w:rsidRPr="007D1A73" w:rsidRDefault="007D1A73" w:rsidP="006B4982">
      <w:pPr>
        <w:pStyle w:val="Akapitzlist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lastRenderedPageBreak/>
        <w:t xml:space="preserve">postępowanie w sprawie o występek, zagrożony karą pozbawienia wolności do lat 5, można umorzyć, jeżeli orzeczenie wobec </w:t>
      </w:r>
      <w:hyperlink r:id="rId17" w:history="1">
        <w:r w:rsidRPr="007D1A73">
          <w:rPr>
            <w:rFonts w:ascii="Times New Roman" w:hAnsi="Times New Roman" w:cs="Times New Roman"/>
            <w:sz w:val="24"/>
            <w:szCs w:val="24"/>
          </w:rPr>
          <w:t>oskarżonego</w:t>
        </w:r>
      </w:hyperlink>
      <w:r w:rsidRPr="007D1A73">
        <w:rPr>
          <w:rFonts w:ascii="Times New Roman" w:hAnsi="Times New Roman" w:cs="Times New Roman"/>
          <w:sz w:val="24"/>
          <w:szCs w:val="24"/>
        </w:rPr>
        <w:t xml:space="preserve"> kary byłoby oczywiście niecelowe ze względu na rodzaj i wysokość kary prawomocnie orzeczonej za inne przestępstwo, a interes </w:t>
      </w:r>
      <w:hyperlink r:id="rId18" w:history="1">
        <w:r w:rsidRPr="007D1A73">
          <w:rPr>
            <w:rFonts w:ascii="Times New Roman" w:hAnsi="Times New Roman" w:cs="Times New Roman"/>
            <w:sz w:val="24"/>
            <w:szCs w:val="24"/>
          </w:rPr>
          <w:t>pokrzywdzonego</w:t>
        </w:r>
      </w:hyperlink>
      <w:r w:rsidRPr="007D1A73">
        <w:rPr>
          <w:rFonts w:ascii="Times New Roman" w:hAnsi="Times New Roman" w:cs="Times New Roman"/>
          <w:sz w:val="24"/>
          <w:szCs w:val="24"/>
        </w:rPr>
        <w:t xml:space="preserve"> temu się nie sprzeciwia</w:t>
      </w:r>
      <w:r w:rsidR="006B4982">
        <w:rPr>
          <w:rFonts w:ascii="Times New Roman" w:hAnsi="Times New Roman" w:cs="Times New Roman"/>
          <w:sz w:val="24"/>
          <w:szCs w:val="24"/>
        </w:rPr>
        <w:t>,</w:t>
      </w:r>
    </w:p>
    <w:p w:rsidR="007D1A73" w:rsidRPr="007D1A73" w:rsidRDefault="007D1A73" w:rsidP="006B4982">
      <w:pPr>
        <w:pStyle w:val="Akapitzlist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 xml:space="preserve">postępowanie w sprawie o występek, zagrożony karą pozbawienia wolności do lat 5, umarza się, jeżeli orzeczenie wobec </w:t>
      </w:r>
      <w:hyperlink r:id="rId19" w:history="1">
        <w:r w:rsidRPr="007D1A73">
          <w:rPr>
            <w:rFonts w:ascii="Times New Roman" w:hAnsi="Times New Roman" w:cs="Times New Roman"/>
            <w:sz w:val="24"/>
            <w:szCs w:val="24"/>
          </w:rPr>
          <w:t>oskarżonego</w:t>
        </w:r>
      </w:hyperlink>
      <w:r w:rsidRPr="007D1A73">
        <w:rPr>
          <w:rFonts w:ascii="Times New Roman" w:hAnsi="Times New Roman" w:cs="Times New Roman"/>
          <w:sz w:val="24"/>
          <w:szCs w:val="24"/>
        </w:rPr>
        <w:t xml:space="preserve"> kary byłoby oczywiście niecelowe ze względu na rodzaj i wysokość kary prawomocnie orzeczonej za inne przestępstwo, a interes </w:t>
      </w:r>
      <w:hyperlink r:id="rId20" w:history="1">
        <w:r w:rsidRPr="007D1A73">
          <w:rPr>
            <w:rFonts w:ascii="Times New Roman" w:hAnsi="Times New Roman" w:cs="Times New Roman"/>
            <w:sz w:val="24"/>
            <w:szCs w:val="24"/>
          </w:rPr>
          <w:t>pokrzywdzonego</w:t>
        </w:r>
      </w:hyperlink>
      <w:r w:rsidRPr="007D1A73">
        <w:rPr>
          <w:rFonts w:ascii="Times New Roman" w:hAnsi="Times New Roman" w:cs="Times New Roman"/>
          <w:sz w:val="24"/>
          <w:szCs w:val="24"/>
        </w:rPr>
        <w:t xml:space="preserve"> temu się nie sprzeciwia</w:t>
      </w:r>
      <w:r w:rsidR="006B4982">
        <w:rPr>
          <w:rFonts w:ascii="Times New Roman" w:hAnsi="Times New Roman" w:cs="Times New Roman"/>
          <w:sz w:val="24"/>
          <w:szCs w:val="24"/>
        </w:rPr>
        <w:t>,</w:t>
      </w:r>
    </w:p>
    <w:p w:rsidR="007D1A73" w:rsidRPr="007D1A73" w:rsidRDefault="007D1A73" w:rsidP="006B4982">
      <w:pPr>
        <w:pStyle w:val="Akapitzlist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instytucja umorzenia na takiej podstawie została uchylona</w:t>
      </w:r>
      <w:r w:rsidR="006B4982">
        <w:rPr>
          <w:rFonts w:ascii="Times New Roman" w:hAnsi="Times New Roman" w:cs="Times New Roman"/>
          <w:sz w:val="24"/>
          <w:szCs w:val="24"/>
        </w:rPr>
        <w:t>.</w:t>
      </w:r>
    </w:p>
    <w:p w:rsidR="007D1A73" w:rsidRPr="007D1A73" w:rsidRDefault="007D1A73" w:rsidP="00327AA7">
      <w:pPr>
        <w:spacing w:after="0" w:line="360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</w:p>
    <w:p w:rsidR="007D1A73" w:rsidRPr="007D1A73" w:rsidRDefault="007D1A73" w:rsidP="00327AA7">
      <w:p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29.</w:t>
      </w:r>
      <w:r w:rsidRPr="007D1A73">
        <w:rPr>
          <w:rFonts w:ascii="Times New Roman" w:hAnsi="Times New Roman" w:cs="Times New Roman"/>
          <w:b/>
          <w:sz w:val="24"/>
          <w:szCs w:val="24"/>
        </w:rPr>
        <w:tab/>
        <w:t>Zgodnie z Kodeksem postępowania karnego,</w:t>
      </w:r>
      <w:r w:rsidRPr="007D1A73">
        <w:rPr>
          <w:rFonts w:ascii="Times New Roman" w:hAnsi="Times New Roman" w:cs="Times New Roman"/>
          <w:sz w:val="24"/>
          <w:szCs w:val="24"/>
        </w:rPr>
        <w:t xml:space="preserve"> </w:t>
      </w:r>
      <w:r w:rsidRPr="007D1A73">
        <w:rPr>
          <w:rFonts w:ascii="Times New Roman" w:hAnsi="Times New Roman" w:cs="Times New Roman"/>
          <w:b/>
          <w:sz w:val="24"/>
          <w:szCs w:val="24"/>
        </w:rPr>
        <w:t>istnieje możliwość przekazania sprawy innemu sądowi równorzędnemu, jeżeli większość osób, które należy wezwać na rozprawę, zamieszkuje blisko tego sądu, a z dala od sądu właściwego</w:t>
      </w:r>
      <w:r w:rsidRPr="007D1A73">
        <w:rPr>
          <w:rFonts w:ascii="Times New Roman" w:hAnsi="Times New Roman" w:cs="Times New Roman"/>
          <w:sz w:val="24"/>
          <w:szCs w:val="24"/>
        </w:rPr>
        <w:t xml:space="preserve">. </w:t>
      </w:r>
      <w:r w:rsidRPr="007D1A73">
        <w:rPr>
          <w:rFonts w:ascii="Times New Roman" w:hAnsi="Times New Roman" w:cs="Times New Roman"/>
          <w:b/>
          <w:sz w:val="24"/>
          <w:szCs w:val="24"/>
        </w:rPr>
        <w:t>Decyzję w tym zakresie podejmuje</w:t>
      </w:r>
      <w:r w:rsidRPr="007D1A73">
        <w:rPr>
          <w:rFonts w:ascii="Times New Roman" w:hAnsi="Times New Roman" w:cs="Times New Roman"/>
          <w:sz w:val="24"/>
          <w:szCs w:val="24"/>
        </w:rPr>
        <w:t>:</w:t>
      </w:r>
    </w:p>
    <w:p w:rsidR="007D1A73" w:rsidRPr="007D1A73" w:rsidRDefault="007D1A73" w:rsidP="006B4982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 xml:space="preserve">sąd wyższego rzędu nad sądem właściwym, </w:t>
      </w:r>
    </w:p>
    <w:p w:rsidR="007D1A73" w:rsidRPr="007D1A73" w:rsidRDefault="007D1A73" w:rsidP="006B4982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sąd właściwy do rozpoznania sprawy,</w:t>
      </w:r>
    </w:p>
    <w:p w:rsidR="007D1A73" w:rsidRPr="007D1A73" w:rsidRDefault="007D1A73" w:rsidP="006B4982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Sąd Najwyższy</w:t>
      </w:r>
      <w:r w:rsidR="006B4982">
        <w:rPr>
          <w:rFonts w:ascii="Times New Roman" w:hAnsi="Times New Roman" w:cs="Times New Roman"/>
          <w:sz w:val="24"/>
          <w:szCs w:val="24"/>
        </w:rPr>
        <w:t>.</w:t>
      </w:r>
    </w:p>
    <w:p w:rsidR="007D1A73" w:rsidRPr="007D1A73" w:rsidRDefault="007D1A73" w:rsidP="00327AA7">
      <w:pPr>
        <w:spacing w:after="0" w:line="360" w:lineRule="auto"/>
        <w:ind w:left="112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1A73" w:rsidRPr="007D1A73" w:rsidRDefault="007D1A73" w:rsidP="00327AA7">
      <w:p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30.</w:t>
      </w:r>
      <w:r w:rsidRPr="007D1A73">
        <w:rPr>
          <w:rFonts w:ascii="Times New Roman" w:hAnsi="Times New Roman" w:cs="Times New Roman"/>
          <w:b/>
          <w:sz w:val="24"/>
          <w:szCs w:val="24"/>
        </w:rPr>
        <w:tab/>
        <w:t xml:space="preserve">Zgodnie z Kodeksem postępowania karnego, w razie śmierci oskarżonego lub gdy nastąpiło przedawnienie karalności, albo gdy brak skargi uprawnionego oskarżyciela, sąd powinien: </w:t>
      </w:r>
    </w:p>
    <w:p w:rsidR="007D1A73" w:rsidRPr="007D1A73" w:rsidRDefault="007D1A73" w:rsidP="006B4982">
      <w:pPr>
        <w:pStyle w:val="Akapitzlist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uniewinnić oskarżonego, jeśli okoliczności te stwierdzono po rozpoczęciu przewodu sądowego,</w:t>
      </w:r>
    </w:p>
    <w:p w:rsidR="007D1A73" w:rsidRPr="007D1A73" w:rsidRDefault="007D1A73" w:rsidP="006B4982">
      <w:pPr>
        <w:pStyle w:val="Akapitzlist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umorzyć postępowanie,</w:t>
      </w:r>
    </w:p>
    <w:p w:rsidR="007D1A73" w:rsidRPr="007D1A73" w:rsidRDefault="007D1A73" w:rsidP="006B4982">
      <w:pPr>
        <w:pStyle w:val="Akapitzlist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 xml:space="preserve">odmówić wszczęcia postępowania. </w:t>
      </w:r>
    </w:p>
    <w:p w:rsidR="007D1A73" w:rsidRPr="007D1A73" w:rsidRDefault="007D1A73" w:rsidP="00327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1A73" w:rsidRPr="007D1A73" w:rsidRDefault="007D1A73" w:rsidP="00327AA7">
      <w:p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31.</w:t>
      </w:r>
      <w:r w:rsidRPr="007D1A73">
        <w:rPr>
          <w:rFonts w:ascii="Times New Roman" w:hAnsi="Times New Roman" w:cs="Times New Roman"/>
          <w:b/>
          <w:sz w:val="24"/>
          <w:szCs w:val="24"/>
        </w:rPr>
        <w:tab/>
        <w:t>Zgodnie z obowiązującym Kodeksem postępowania karnego,</w:t>
      </w:r>
      <w:r w:rsidRPr="007D1A73">
        <w:rPr>
          <w:rFonts w:ascii="Times New Roman" w:hAnsi="Times New Roman" w:cs="Times New Roman"/>
          <w:sz w:val="24"/>
          <w:szCs w:val="24"/>
        </w:rPr>
        <w:t xml:space="preserve"> </w:t>
      </w:r>
      <w:r w:rsidRPr="007D1A73">
        <w:rPr>
          <w:rFonts w:ascii="Times New Roman" w:hAnsi="Times New Roman" w:cs="Times New Roman"/>
          <w:b/>
          <w:sz w:val="24"/>
          <w:szCs w:val="24"/>
        </w:rPr>
        <w:t xml:space="preserve">w razie powtórnego wydania postanowienia o odmowie wszczęcia lub o umorzeniu postępowania </w:t>
      </w:r>
      <w:r w:rsidR="006B4982">
        <w:rPr>
          <w:rFonts w:ascii="Times New Roman" w:hAnsi="Times New Roman" w:cs="Times New Roman"/>
          <w:b/>
          <w:sz w:val="24"/>
          <w:szCs w:val="24"/>
        </w:rPr>
        <w:br/>
      </w:r>
      <w:r w:rsidRPr="007D1A73">
        <w:rPr>
          <w:rFonts w:ascii="Times New Roman" w:hAnsi="Times New Roman" w:cs="Times New Roman"/>
          <w:b/>
          <w:sz w:val="24"/>
          <w:szCs w:val="24"/>
        </w:rPr>
        <w:t xml:space="preserve">w wypadku, o którym mowa w </w:t>
      </w:r>
      <w:hyperlink r:id="rId21" w:history="1">
        <w:r w:rsidRPr="007D1A73">
          <w:rPr>
            <w:rFonts w:ascii="Times New Roman" w:hAnsi="Times New Roman" w:cs="Times New Roman"/>
            <w:b/>
            <w:sz w:val="24"/>
            <w:szCs w:val="24"/>
          </w:rPr>
          <w:t>art. 330 § 2</w:t>
        </w:r>
      </w:hyperlink>
      <w:r w:rsidRPr="007D1A7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D1A73">
        <w:rPr>
          <w:rFonts w:ascii="Times New Roman" w:hAnsi="Times New Roman" w:cs="Times New Roman"/>
          <w:b/>
          <w:sz w:val="24"/>
          <w:szCs w:val="24"/>
        </w:rPr>
        <w:t>kpk</w:t>
      </w:r>
      <w:proofErr w:type="spellEnd"/>
      <w:r w:rsidRPr="007D1A73">
        <w:rPr>
          <w:rFonts w:ascii="Times New Roman" w:hAnsi="Times New Roman" w:cs="Times New Roman"/>
          <w:b/>
          <w:sz w:val="24"/>
          <w:szCs w:val="24"/>
        </w:rPr>
        <w:t xml:space="preserve">, pokrzywdzony może wnieść akt oskarżenia do sądu: </w:t>
      </w:r>
    </w:p>
    <w:p w:rsidR="007D1A73" w:rsidRPr="007D1A73" w:rsidRDefault="007D1A73" w:rsidP="006B4982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w terminie miesiąca od doręczenia mu zawiadomienia o postanowieniu prokuratora nadrzędnego o utrzymaniu w mocy zaskarżonego postanowienia,</w:t>
      </w:r>
    </w:p>
    <w:p w:rsidR="007D1A73" w:rsidRPr="007D1A73" w:rsidRDefault="007D1A73" w:rsidP="006B4982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lastRenderedPageBreak/>
        <w:t>w terminie 7 dni od doręczenia mu zawiadomienia o postanowieniu prokuratora nadrzędnego o utrzymaniu w mocy zaskarżonego postanowienia,</w:t>
      </w:r>
    </w:p>
    <w:p w:rsidR="007D1A73" w:rsidRPr="007D1A73" w:rsidRDefault="007D1A73" w:rsidP="006B4982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 xml:space="preserve">w terminie 30 dni od doręczenia mu odpisu postanowienia prokuratora </w:t>
      </w:r>
      <w:r w:rsidR="006B4982">
        <w:rPr>
          <w:rFonts w:ascii="Times New Roman" w:hAnsi="Times New Roman" w:cs="Times New Roman"/>
          <w:sz w:val="24"/>
          <w:szCs w:val="24"/>
        </w:rPr>
        <w:br/>
      </w:r>
      <w:r w:rsidRPr="007D1A73">
        <w:rPr>
          <w:rFonts w:ascii="Times New Roman" w:hAnsi="Times New Roman" w:cs="Times New Roman"/>
          <w:sz w:val="24"/>
          <w:szCs w:val="24"/>
        </w:rPr>
        <w:t>o umorzeniu postepowania.</w:t>
      </w:r>
    </w:p>
    <w:p w:rsidR="007D1A73" w:rsidRPr="007D1A73" w:rsidRDefault="007D1A73" w:rsidP="00327AA7">
      <w:pPr>
        <w:pStyle w:val="Akapitzlist"/>
        <w:spacing w:after="0" w:line="360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:rsidR="007D1A73" w:rsidRPr="007D1A73" w:rsidRDefault="007D1A73" w:rsidP="00327AA7">
      <w:pPr>
        <w:spacing w:after="0" w:line="360" w:lineRule="auto"/>
        <w:ind w:left="567" w:hanging="567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32.</w:t>
      </w:r>
      <w:r w:rsidRPr="007D1A73">
        <w:rPr>
          <w:rFonts w:ascii="Times New Roman" w:hAnsi="Times New Roman" w:cs="Times New Roman"/>
          <w:b/>
          <w:sz w:val="24"/>
          <w:szCs w:val="24"/>
        </w:rPr>
        <w:tab/>
        <w:t>Zgodnie z Kodeksem postępowania karnego, sądy rejonowe:</w:t>
      </w:r>
    </w:p>
    <w:p w:rsidR="007D1A73" w:rsidRPr="007D1A73" w:rsidRDefault="007D1A73" w:rsidP="006B4982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nigdy nie rozpoznają środków odwoławczych, gdyż kompetencja w tym zakresie przekazana została ustawowo sądom wyższej instancji</w:t>
      </w:r>
      <w:r w:rsidR="006B4982">
        <w:rPr>
          <w:rFonts w:ascii="Times New Roman" w:hAnsi="Times New Roman" w:cs="Times New Roman"/>
          <w:sz w:val="24"/>
          <w:szCs w:val="24"/>
        </w:rPr>
        <w:t>,</w:t>
      </w:r>
    </w:p>
    <w:p w:rsidR="007D1A73" w:rsidRPr="007D1A73" w:rsidRDefault="007D1A73" w:rsidP="006B4982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rozpoznają środki odwoławcze wyłącznie w zakresie wykroczeń</w:t>
      </w:r>
      <w:r w:rsidR="006B4982">
        <w:rPr>
          <w:rFonts w:ascii="Times New Roman" w:hAnsi="Times New Roman" w:cs="Times New Roman"/>
          <w:sz w:val="24"/>
          <w:szCs w:val="24"/>
        </w:rPr>
        <w:t>,</w:t>
      </w:r>
    </w:p>
    <w:p w:rsidR="007D1A73" w:rsidRPr="007D1A73" w:rsidRDefault="007D1A73" w:rsidP="006B4982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 xml:space="preserve">rozpoznają środki odwoławcze w wypadkach wskazanych w ustawie.  </w:t>
      </w:r>
    </w:p>
    <w:p w:rsidR="007D1A73" w:rsidRPr="007D1A73" w:rsidRDefault="007D1A73" w:rsidP="00327AA7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1A73" w:rsidRPr="006B4982" w:rsidRDefault="007D1A73" w:rsidP="00327AA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33.</w:t>
      </w:r>
      <w:r w:rsidRPr="007D1A73">
        <w:rPr>
          <w:rFonts w:ascii="Times New Roman" w:hAnsi="Times New Roman" w:cs="Times New Roman"/>
          <w:b/>
          <w:sz w:val="24"/>
          <w:szCs w:val="24"/>
        </w:rPr>
        <w:tab/>
        <w:t>Zgodnie z Kodeksem postępowania karnego,</w:t>
      </w:r>
      <w:r w:rsidRPr="006B4982">
        <w:rPr>
          <w:rFonts w:ascii="Times New Roman" w:hAnsi="Times New Roman" w:cs="Times New Roman"/>
          <w:b/>
          <w:sz w:val="24"/>
          <w:szCs w:val="24"/>
        </w:rPr>
        <w:t xml:space="preserve"> w </w:t>
      </w:r>
      <w:bookmarkStart w:id="10" w:name="highlightHit_64"/>
      <w:bookmarkEnd w:id="10"/>
      <w:r w:rsidRPr="006B4982">
        <w:rPr>
          <w:rFonts w:ascii="Times New Roman" w:hAnsi="Times New Roman" w:cs="Times New Roman"/>
          <w:b/>
          <w:sz w:val="24"/>
          <w:szCs w:val="24"/>
        </w:rPr>
        <w:t xml:space="preserve">postępowaniu </w:t>
      </w:r>
      <w:bookmarkStart w:id="11" w:name="highlightHit_65"/>
      <w:bookmarkEnd w:id="11"/>
      <w:r w:rsidRPr="006B4982">
        <w:rPr>
          <w:rFonts w:ascii="Times New Roman" w:hAnsi="Times New Roman" w:cs="Times New Roman"/>
          <w:b/>
          <w:sz w:val="24"/>
          <w:szCs w:val="24"/>
        </w:rPr>
        <w:t>sądowym oskarżony, który skończył 18 lat musi mieć obrońcę:</w:t>
      </w:r>
    </w:p>
    <w:p w:rsidR="007D1A73" w:rsidRPr="006B4982" w:rsidRDefault="007D1A73" w:rsidP="006B4982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2" w:name="mip58187541"/>
      <w:bookmarkEnd w:id="12"/>
      <w:r w:rsidRPr="007D1A73">
        <w:rPr>
          <w:rFonts w:ascii="Times New Roman" w:hAnsi="Times New Roman" w:cs="Times New Roman"/>
          <w:sz w:val="24"/>
          <w:szCs w:val="24"/>
        </w:rPr>
        <w:t>z uwagi na nie ukończenie 21 lat</w:t>
      </w:r>
      <w:r w:rsidR="006B4982">
        <w:rPr>
          <w:rFonts w:ascii="Times New Roman" w:hAnsi="Times New Roman" w:cs="Times New Roman"/>
          <w:sz w:val="24"/>
          <w:szCs w:val="24"/>
        </w:rPr>
        <w:t>,</w:t>
      </w:r>
    </w:p>
    <w:p w:rsidR="007D1A73" w:rsidRPr="006B4982" w:rsidRDefault="007D1A73" w:rsidP="006B4982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3" w:name="mip58187542"/>
      <w:bookmarkEnd w:id="13"/>
      <w:r w:rsidRPr="006B4982">
        <w:rPr>
          <w:rFonts w:ascii="Times New Roman" w:hAnsi="Times New Roman" w:cs="Times New Roman"/>
          <w:sz w:val="24"/>
          <w:szCs w:val="24"/>
        </w:rPr>
        <w:t>gdy sąd uzna to za niezbędne ze względu na inne okoliczności utrudniające obronę</w:t>
      </w:r>
      <w:r w:rsidR="006B4982">
        <w:rPr>
          <w:rFonts w:ascii="Times New Roman" w:hAnsi="Times New Roman" w:cs="Times New Roman"/>
          <w:sz w:val="24"/>
          <w:szCs w:val="24"/>
        </w:rPr>
        <w:t>,</w:t>
      </w:r>
    </w:p>
    <w:p w:rsidR="007D1A73" w:rsidRPr="007D1A73" w:rsidRDefault="007D1A73" w:rsidP="006B4982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4982">
        <w:rPr>
          <w:rFonts w:ascii="Times New Roman" w:hAnsi="Times New Roman" w:cs="Times New Roman"/>
          <w:sz w:val="24"/>
          <w:szCs w:val="24"/>
        </w:rPr>
        <w:t>gdy</w:t>
      </w:r>
      <w:r w:rsidRPr="007D1A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złoży wniosek o przyznanie obrońcy</w:t>
      </w:r>
      <w:r w:rsidR="006B498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7D1A73" w:rsidRPr="007D1A73" w:rsidRDefault="007D1A73" w:rsidP="00327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1A73" w:rsidRPr="007D1A73" w:rsidRDefault="007D1A73" w:rsidP="00327AA7">
      <w:p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34.</w:t>
      </w:r>
      <w:r w:rsidRPr="007D1A73">
        <w:rPr>
          <w:rFonts w:ascii="Times New Roman" w:hAnsi="Times New Roman" w:cs="Times New Roman"/>
          <w:b/>
          <w:sz w:val="24"/>
          <w:szCs w:val="24"/>
        </w:rPr>
        <w:tab/>
        <w:t>Zgodnie z Kodeksem postępowania karnego, osobę, przeciwko której wniesiono do sądu, wniosek o warunkowe umorzenie postępowania</w:t>
      </w:r>
      <w:r w:rsidRPr="007D1A73">
        <w:rPr>
          <w:rFonts w:ascii="Times New Roman" w:hAnsi="Times New Roman" w:cs="Times New Roman"/>
          <w:sz w:val="24"/>
          <w:szCs w:val="24"/>
        </w:rPr>
        <w:t xml:space="preserve"> </w:t>
      </w:r>
      <w:r w:rsidRPr="007D1A73">
        <w:rPr>
          <w:rFonts w:ascii="Times New Roman" w:hAnsi="Times New Roman" w:cs="Times New Roman"/>
          <w:b/>
          <w:sz w:val="24"/>
          <w:szCs w:val="24"/>
        </w:rPr>
        <w:t xml:space="preserve">uważa się za: </w:t>
      </w:r>
    </w:p>
    <w:p w:rsidR="007D1A73" w:rsidRPr="007D1A73" w:rsidRDefault="007D1A73" w:rsidP="006B4982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4" w:name="mip52437048"/>
      <w:bookmarkEnd w:id="14"/>
      <w:r w:rsidRPr="007D1A73">
        <w:rPr>
          <w:rFonts w:ascii="Times New Roman" w:hAnsi="Times New Roman" w:cs="Times New Roman"/>
          <w:sz w:val="24"/>
          <w:szCs w:val="24"/>
        </w:rPr>
        <w:t>podejrzanego</w:t>
      </w:r>
      <w:r w:rsidR="006B4982">
        <w:rPr>
          <w:rFonts w:ascii="Times New Roman" w:hAnsi="Times New Roman" w:cs="Times New Roman"/>
          <w:sz w:val="24"/>
          <w:szCs w:val="24"/>
        </w:rPr>
        <w:t>,</w:t>
      </w:r>
    </w:p>
    <w:p w:rsidR="007D1A73" w:rsidRPr="007D1A73" w:rsidRDefault="007D1A73" w:rsidP="006B4982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oskarżonego</w:t>
      </w:r>
      <w:r w:rsidR="006B4982">
        <w:rPr>
          <w:rFonts w:ascii="Times New Roman" w:hAnsi="Times New Roman" w:cs="Times New Roman"/>
          <w:sz w:val="24"/>
          <w:szCs w:val="24"/>
        </w:rPr>
        <w:t>,</w:t>
      </w:r>
    </w:p>
    <w:p w:rsidR="007D1A73" w:rsidRPr="007D1A73" w:rsidRDefault="007D1A73" w:rsidP="006B4982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podmiot zobowiązany</w:t>
      </w:r>
      <w:r w:rsidR="006B4982">
        <w:rPr>
          <w:rFonts w:ascii="Times New Roman" w:hAnsi="Times New Roman" w:cs="Times New Roman"/>
          <w:sz w:val="24"/>
          <w:szCs w:val="24"/>
        </w:rPr>
        <w:t>.</w:t>
      </w:r>
    </w:p>
    <w:p w:rsidR="007D1A73" w:rsidRPr="007D1A73" w:rsidRDefault="007D1A73" w:rsidP="00327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1A73" w:rsidRPr="007D1A73" w:rsidRDefault="007D1A73" w:rsidP="00327AA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35.</w:t>
      </w:r>
      <w:r w:rsidRPr="007D1A73">
        <w:rPr>
          <w:rFonts w:ascii="Times New Roman" w:hAnsi="Times New Roman" w:cs="Times New Roman"/>
          <w:b/>
          <w:sz w:val="24"/>
          <w:szCs w:val="24"/>
        </w:rPr>
        <w:tab/>
        <w:t>Zgodnie z Kodeksem postępowania karnego,</w:t>
      </w:r>
      <w:r w:rsidRPr="007D1A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D1A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przebieg narady i głosowania nad orzeczeniem jest</w:t>
      </w:r>
      <w:r w:rsidRPr="007D1A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</w:p>
    <w:p w:rsidR="007D1A73" w:rsidRPr="007D1A73" w:rsidRDefault="007D1A73" w:rsidP="006B4982">
      <w:pPr>
        <w:pStyle w:val="Akapitzlist"/>
        <w:numPr>
          <w:ilvl w:val="0"/>
          <w:numId w:val="38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D1A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tajny, a zwolnienie od zachowania w tym względzie </w:t>
      </w:r>
      <w:r w:rsidR="006B4982">
        <w:rPr>
          <w:rFonts w:ascii="Times New Roman" w:eastAsia="Times New Roman" w:hAnsi="Times New Roman" w:cs="Times New Roman"/>
          <w:sz w:val="24"/>
          <w:szCs w:val="24"/>
          <w:lang w:eastAsia="pl-PL"/>
        </w:rPr>
        <w:t>tajemnicy nie jest dopuszczalne,</w:t>
      </w:r>
    </w:p>
    <w:p w:rsidR="007D1A73" w:rsidRPr="007D1A73" w:rsidRDefault="007D1A73" w:rsidP="006B4982">
      <w:pPr>
        <w:pStyle w:val="Akapitzlist"/>
        <w:numPr>
          <w:ilvl w:val="0"/>
          <w:numId w:val="38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15" w:name="mip58187689"/>
      <w:bookmarkEnd w:id="15"/>
      <w:r w:rsidRPr="007D1A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jest tajny, ale można zwolnić członków składu z tej tajemnicy, </w:t>
      </w:r>
    </w:p>
    <w:p w:rsidR="007D1A73" w:rsidRPr="007D1A73" w:rsidRDefault="007D1A73" w:rsidP="006B4982">
      <w:pPr>
        <w:pStyle w:val="Akapitzlist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jest tajny, a w naradzie nie może brać udziału protokolant</w:t>
      </w:r>
      <w:r w:rsidR="006B4982">
        <w:rPr>
          <w:rFonts w:ascii="Times New Roman" w:hAnsi="Times New Roman" w:cs="Times New Roman"/>
          <w:sz w:val="24"/>
          <w:szCs w:val="24"/>
        </w:rPr>
        <w:t>.</w:t>
      </w:r>
      <w:r w:rsidRPr="007D1A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1A73" w:rsidRPr="007D1A73" w:rsidRDefault="007D1A73" w:rsidP="00327AA7">
      <w:pPr>
        <w:pStyle w:val="Akapitzlist"/>
        <w:spacing w:after="0" w:line="360" w:lineRule="auto"/>
        <w:ind w:left="1352"/>
        <w:jc w:val="both"/>
        <w:rPr>
          <w:rFonts w:ascii="Times New Roman" w:hAnsi="Times New Roman" w:cs="Times New Roman"/>
          <w:sz w:val="24"/>
          <w:szCs w:val="24"/>
        </w:rPr>
      </w:pPr>
    </w:p>
    <w:p w:rsidR="007D1A73" w:rsidRPr="007D1A73" w:rsidRDefault="007D1A73" w:rsidP="00327AA7">
      <w:pPr>
        <w:spacing w:after="0" w:line="360" w:lineRule="auto"/>
        <w:ind w:left="567" w:hanging="567"/>
        <w:rPr>
          <w:rFonts w:ascii="Times New Roman" w:hAnsi="Times New Roman" w:cs="Times New Roman"/>
          <w:b/>
          <w:sz w:val="24"/>
          <w:szCs w:val="24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>36.</w:t>
      </w:r>
      <w:r w:rsidRPr="007D1A73">
        <w:rPr>
          <w:rFonts w:ascii="Times New Roman" w:hAnsi="Times New Roman" w:cs="Times New Roman"/>
          <w:b/>
          <w:sz w:val="24"/>
          <w:szCs w:val="24"/>
        </w:rPr>
        <w:tab/>
        <w:t xml:space="preserve">Zgodnie z Kodeksem postępowania karnego, do biegu terminu ustawowego: </w:t>
      </w:r>
    </w:p>
    <w:p w:rsidR="007D1A73" w:rsidRPr="007D1A73" w:rsidRDefault="007D1A73" w:rsidP="006B4982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 xml:space="preserve">nie wlicza się dnia, od którego liczy się dany termin, </w:t>
      </w:r>
    </w:p>
    <w:p w:rsidR="007D1A73" w:rsidRPr="007D1A73" w:rsidRDefault="007D1A73" w:rsidP="006B4982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t>wlicza się ten dzień,</w:t>
      </w:r>
    </w:p>
    <w:p w:rsidR="007D1A73" w:rsidRPr="007D1A73" w:rsidRDefault="007D1A73" w:rsidP="006B4982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A73">
        <w:rPr>
          <w:rFonts w:ascii="Times New Roman" w:hAnsi="Times New Roman" w:cs="Times New Roman"/>
          <w:sz w:val="24"/>
          <w:szCs w:val="24"/>
        </w:rPr>
        <w:lastRenderedPageBreak/>
        <w:t>nie ma kodeksowej regulacji w tym zakresie.</w:t>
      </w:r>
    </w:p>
    <w:p w:rsidR="007D1A73" w:rsidRPr="007D1A73" w:rsidRDefault="007D1A73" w:rsidP="00327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1A73" w:rsidRPr="007D1A73" w:rsidRDefault="007D1A73" w:rsidP="00327AA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1A73" w:rsidRPr="007D1A73" w:rsidRDefault="007D1A73" w:rsidP="00327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1A73" w:rsidRPr="007D1A73" w:rsidRDefault="007D1A73" w:rsidP="00327AA7">
      <w:pPr>
        <w:spacing w:after="0" w:line="360" w:lineRule="auto"/>
        <w:ind w:left="714" w:hanging="35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D1A73">
        <w:rPr>
          <w:rFonts w:ascii="Times New Roman" w:hAnsi="Times New Roman" w:cs="Times New Roman"/>
          <w:b/>
          <w:sz w:val="24"/>
          <w:szCs w:val="24"/>
        </w:rPr>
        <w:t xml:space="preserve">B/ Praca pisemna na jeden z dwóch tematów z zakresu prawa cywilnego i prawa karnego, wybrany przez kandydata – oceniana przez komisję w skali od 0-9 punktów </w:t>
      </w:r>
      <w:r w:rsidRPr="007D1A73">
        <w:rPr>
          <w:rFonts w:ascii="Times New Roman" w:hAnsi="Times New Roman" w:cs="Times New Roman"/>
          <w:b/>
          <w:sz w:val="24"/>
          <w:szCs w:val="24"/>
          <w:u w:val="single"/>
        </w:rPr>
        <w:t>(proszę zakreślić wybrany temat).</w:t>
      </w:r>
    </w:p>
    <w:p w:rsidR="007D1A73" w:rsidRPr="007D1A73" w:rsidRDefault="007D1A73" w:rsidP="00327AA7">
      <w:pPr>
        <w:spacing w:after="0" w:line="360" w:lineRule="auto"/>
        <w:ind w:left="714" w:hanging="35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D1A73" w:rsidRPr="007D1A73" w:rsidRDefault="007D1A73" w:rsidP="006B4982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D1A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Wady oświadczeń woli.</w:t>
      </w:r>
    </w:p>
    <w:p w:rsidR="007D1A73" w:rsidRPr="007D1A73" w:rsidRDefault="007D1A73" w:rsidP="006B4982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D1A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Terminy przedawnienia karalności w czasie pandemii </w:t>
      </w:r>
    </w:p>
    <w:p w:rsidR="007D1A73" w:rsidRPr="007D1A73" w:rsidRDefault="007D1A73" w:rsidP="00327AA7">
      <w:pPr>
        <w:pStyle w:val="Akapitzlist"/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7D1A73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(w świetle zmian wprowadzonych ustawą z 31 marca 2020 r. o zmianie ustawy</w:t>
      </w:r>
      <w:r w:rsidR="006B4982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br/>
      </w:r>
      <w:r w:rsidRPr="007D1A73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o szczególnych rozwiązaniach związanych z zapobieganiem, przeciwdziałaniem </w:t>
      </w:r>
      <w:r w:rsidR="006B4982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br/>
      </w:r>
      <w:r w:rsidRPr="007D1A73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i zwalczaniem COVID-19 (Dz. U z 2020 poz. 568) oraz ustawy  z  20 kwietnia 2021 r. </w:t>
      </w:r>
      <w:r w:rsidR="006B4982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br/>
      </w:r>
      <w:r w:rsidRPr="007D1A73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o zmianie ustawy – Kodeks karny oraz niektórych innych ustaw (Dz.U. z 2021 r. poz. 1023) i zawartego w niej przepisu przejściowego). </w:t>
      </w:r>
    </w:p>
    <w:p w:rsidR="001867A9" w:rsidRPr="007D1A73" w:rsidRDefault="001867A9" w:rsidP="00327A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6933" w:rsidRPr="007D1A73" w:rsidRDefault="00A12695" w:rsidP="00327AA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sz w:val="24"/>
          <w:szCs w:val="24"/>
        </w:rPr>
        <w:lastRenderedPageBreak/>
        <w:br w:type="column"/>
      </w:r>
      <w:r>
        <w:rPr>
          <w:rFonts w:ascii="Times New Roman" w:hAnsi="Times New Roman" w:cs="Times New Roman"/>
          <w:sz w:val="24"/>
          <w:szCs w:val="24"/>
        </w:rPr>
        <w:lastRenderedPageBreak/>
        <w:br w:type="column"/>
      </w:r>
      <w:r>
        <w:rPr>
          <w:rFonts w:ascii="Times New Roman" w:hAnsi="Times New Roman" w:cs="Times New Roman"/>
          <w:sz w:val="24"/>
          <w:szCs w:val="24"/>
        </w:rPr>
        <w:lastRenderedPageBreak/>
        <w:br w:type="column"/>
      </w:r>
      <w:r>
        <w:rPr>
          <w:rFonts w:ascii="Times New Roman" w:hAnsi="Times New Roman" w:cs="Times New Roman"/>
          <w:sz w:val="24"/>
          <w:szCs w:val="24"/>
        </w:rPr>
        <w:lastRenderedPageBreak/>
        <w:br w:type="column"/>
      </w:r>
      <w:bookmarkStart w:id="16" w:name="_GoBack"/>
      <w:bookmarkEnd w:id="16"/>
    </w:p>
    <w:sectPr w:rsidR="00F16933" w:rsidRPr="007D1A73">
      <w:footerReference w:type="default" r:id="rId2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1A73" w:rsidRDefault="007D1A73" w:rsidP="007D1A73">
      <w:pPr>
        <w:spacing w:after="0" w:line="240" w:lineRule="auto"/>
      </w:pPr>
      <w:r>
        <w:separator/>
      </w:r>
    </w:p>
  </w:endnote>
  <w:endnote w:type="continuationSeparator" w:id="0">
    <w:p w:rsidR="007D1A73" w:rsidRDefault="007D1A73" w:rsidP="007D1A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39408020"/>
      <w:docPartObj>
        <w:docPartGallery w:val="Page Numbers (Bottom of Page)"/>
        <w:docPartUnique/>
      </w:docPartObj>
    </w:sdtPr>
    <w:sdtEndPr/>
    <w:sdtContent>
      <w:p w:rsidR="007D1A73" w:rsidRDefault="007D1A7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579F">
          <w:rPr>
            <w:noProof/>
          </w:rPr>
          <w:t>12</w:t>
        </w:r>
        <w:r>
          <w:fldChar w:fldCharType="end"/>
        </w:r>
      </w:p>
    </w:sdtContent>
  </w:sdt>
  <w:p w:rsidR="007D1A73" w:rsidRDefault="007D1A7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1A73" w:rsidRDefault="007D1A73" w:rsidP="007D1A73">
      <w:pPr>
        <w:spacing w:after="0" w:line="240" w:lineRule="auto"/>
      </w:pPr>
      <w:r>
        <w:separator/>
      </w:r>
    </w:p>
  </w:footnote>
  <w:footnote w:type="continuationSeparator" w:id="0">
    <w:p w:rsidR="007D1A73" w:rsidRDefault="007D1A73" w:rsidP="007D1A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673FA"/>
    <w:multiLevelType w:val="hybridMultilevel"/>
    <w:tmpl w:val="FBE2C0CE"/>
    <w:lvl w:ilvl="0" w:tplc="385A230A">
      <w:start w:val="1"/>
      <w:numFmt w:val="lowerLetter"/>
      <w:lvlText w:val="%1."/>
      <w:lvlJc w:val="left"/>
      <w:pPr>
        <w:ind w:left="135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 w15:restartNumberingAfterBreak="0">
    <w:nsid w:val="0CB76920"/>
    <w:multiLevelType w:val="hybridMultilevel"/>
    <w:tmpl w:val="34D4FF98"/>
    <w:lvl w:ilvl="0" w:tplc="0720B038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643A72"/>
    <w:multiLevelType w:val="hybridMultilevel"/>
    <w:tmpl w:val="DD988C6E"/>
    <w:lvl w:ilvl="0" w:tplc="385A230A">
      <w:start w:val="1"/>
      <w:numFmt w:val="lowerLetter"/>
      <w:lvlText w:val="%1."/>
      <w:lvlJc w:val="left"/>
      <w:pPr>
        <w:ind w:left="135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" w15:restartNumberingAfterBreak="0">
    <w:nsid w:val="19C304A5"/>
    <w:multiLevelType w:val="hybridMultilevel"/>
    <w:tmpl w:val="A91297BC"/>
    <w:lvl w:ilvl="0" w:tplc="8D069706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3E2650"/>
    <w:multiLevelType w:val="hybridMultilevel"/>
    <w:tmpl w:val="F348BF64"/>
    <w:lvl w:ilvl="0" w:tplc="127EC214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3844C6"/>
    <w:multiLevelType w:val="hybridMultilevel"/>
    <w:tmpl w:val="A08472C2"/>
    <w:lvl w:ilvl="0" w:tplc="F83E1976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833941"/>
    <w:multiLevelType w:val="hybridMultilevel"/>
    <w:tmpl w:val="7C3EED86"/>
    <w:lvl w:ilvl="0" w:tplc="385A230A">
      <w:start w:val="1"/>
      <w:numFmt w:val="lowerLetter"/>
      <w:lvlText w:val="%1."/>
      <w:lvlJc w:val="left"/>
      <w:pPr>
        <w:ind w:left="135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7" w15:restartNumberingAfterBreak="0">
    <w:nsid w:val="2359578D"/>
    <w:multiLevelType w:val="hybridMultilevel"/>
    <w:tmpl w:val="74AC7C68"/>
    <w:lvl w:ilvl="0" w:tplc="493AA6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5A3377"/>
    <w:multiLevelType w:val="hybridMultilevel"/>
    <w:tmpl w:val="8C180572"/>
    <w:lvl w:ilvl="0" w:tplc="385A230A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A067263"/>
    <w:multiLevelType w:val="hybridMultilevel"/>
    <w:tmpl w:val="45B6C9D6"/>
    <w:lvl w:ilvl="0" w:tplc="ACEEC2BC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CE92704"/>
    <w:multiLevelType w:val="hybridMultilevel"/>
    <w:tmpl w:val="874AA228"/>
    <w:lvl w:ilvl="0" w:tplc="415CB912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D6361E4"/>
    <w:multiLevelType w:val="hybridMultilevel"/>
    <w:tmpl w:val="7FCAE812"/>
    <w:lvl w:ilvl="0" w:tplc="385A230A">
      <w:start w:val="1"/>
      <w:numFmt w:val="lowerLetter"/>
      <w:lvlText w:val="%1."/>
      <w:lvlJc w:val="left"/>
      <w:pPr>
        <w:ind w:left="135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2" w15:restartNumberingAfterBreak="0">
    <w:nsid w:val="2EB81085"/>
    <w:multiLevelType w:val="hybridMultilevel"/>
    <w:tmpl w:val="D2F4966A"/>
    <w:lvl w:ilvl="0" w:tplc="385A230A">
      <w:start w:val="1"/>
      <w:numFmt w:val="lowerLetter"/>
      <w:lvlText w:val="%1."/>
      <w:lvlJc w:val="left"/>
      <w:pPr>
        <w:ind w:left="135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3" w15:restartNumberingAfterBreak="0">
    <w:nsid w:val="30002DA5"/>
    <w:multiLevelType w:val="hybridMultilevel"/>
    <w:tmpl w:val="F4D09556"/>
    <w:lvl w:ilvl="0" w:tplc="AE1024E0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1A544E6"/>
    <w:multiLevelType w:val="hybridMultilevel"/>
    <w:tmpl w:val="EF9AAF36"/>
    <w:lvl w:ilvl="0" w:tplc="35CC4514">
      <w:start w:val="1"/>
      <w:numFmt w:val="lowerLetter"/>
      <w:lvlText w:val="%1."/>
      <w:lvlJc w:val="left"/>
      <w:pPr>
        <w:ind w:left="135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5" w15:restartNumberingAfterBreak="0">
    <w:nsid w:val="32EC32B4"/>
    <w:multiLevelType w:val="hybridMultilevel"/>
    <w:tmpl w:val="9E6E7260"/>
    <w:lvl w:ilvl="0" w:tplc="385A230A">
      <w:start w:val="1"/>
      <w:numFmt w:val="lowerLetter"/>
      <w:lvlText w:val="%1."/>
      <w:lvlJc w:val="left"/>
      <w:pPr>
        <w:ind w:left="135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6" w15:restartNumberingAfterBreak="0">
    <w:nsid w:val="34450B45"/>
    <w:multiLevelType w:val="hybridMultilevel"/>
    <w:tmpl w:val="F53210CA"/>
    <w:lvl w:ilvl="0" w:tplc="385A230A">
      <w:start w:val="1"/>
      <w:numFmt w:val="lowerLetter"/>
      <w:lvlText w:val="%1."/>
      <w:lvlJc w:val="left"/>
      <w:pPr>
        <w:ind w:left="135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7" w15:restartNumberingAfterBreak="0">
    <w:nsid w:val="39F655BE"/>
    <w:multiLevelType w:val="hybridMultilevel"/>
    <w:tmpl w:val="F43889C2"/>
    <w:lvl w:ilvl="0" w:tplc="3EE06CE0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05A0C4F"/>
    <w:multiLevelType w:val="hybridMultilevel"/>
    <w:tmpl w:val="117AF64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3812E8"/>
    <w:multiLevelType w:val="hybridMultilevel"/>
    <w:tmpl w:val="EB0E410A"/>
    <w:lvl w:ilvl="0" w:tplc="75A0EE28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B570CDF"/>
    <w:multiLevelType w:val="hybridMultilevel"/>
    <w:tmpl w:val="0E88C764"/>
    <w:lvl w:ilvl="0" w:tplc="385A230A">
      <w:start w:val="1"/>
      <w:numFmt w:val="lowerLetter"/>
      <w:lvlText w:val="%1."/>
      <w:lvlJc w:val="left"/>
      <w:pPr>
        <w:ind w:left="148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1" w15:restartNumberingAfterBreak="0">
    <w:nsid w:val="4C935944"/>
    <w:multiLevelType w:val="hybridMultilevel"/>
    <w:tmpl w:val="7A50D134"/>
    <w:lvl w:ilvl="0" w:tplc="3C4EEB1A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77C04C0"/>
    <w:multiLevelType w:val="hybridMultilevel"/>
    <w:tmpl w:val="D1C611B8"/>
    <w:lvl w:ilvl="0" w:tplc="FBC8B7B2">
      <w:start w:val="1"/>
      <w:numFmt w:val="lowerLetter"/>
      <w:lvlText w:val="%1."/>
      <w:lvlJc w:val="left"/>
      <w:pPr>
        <w:ind w:left="128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57870CEC"/>
    <w:multiLevelType w:val="hybridMultilevel"/>
    <w:tmpl w:val="BF9C502E"/>
    <w:lvl w:ilvl="0" w:tplc="385A230A">
      <w:start w:val="1"/>
      <w:numFmt w:val="lowerLetter"/>
      <w:lvlText w:val="%1."/>
      <w:lvlJc w:val="left"/>
      <w:pPr>
        <w:ind w:left="135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4" w15:restartNumberingAfterBreak="0">
    <w:nsid w:val="5C1B4D9A"/>
    <w:multiLevelType w:val="hybridMultilevel"/>
    <w:tmpl w:val="2E7CC218"/>
    <w:lvl w:ilvl="0" w:tplc="C5F038F8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E51268E"/>
    <w:multiLevelType w:val="hybridMultilevel"/>
    <w:tmpl w:val="AC0AAB2A"/>
    <w:lvl w:ilvl="0" w:tplc="DF3ECAD0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08F266A"/>
    <w:multiLevelType w:val="hybridMultilevel"/>
    <w:tmpl w:val="048E21E4"/>
    <w:lvl w:ilvl="0" w:tplc="AC5A8B6E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13B6178"/>
    <w:multiLevelType w:val="hybridMultilevel"/>
    <w:tmpl w:val="BF8E2B34"/>
    <w:lvl w:ilvl="0" w:tplc="EC58B022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533159D"/>
    <w:multiLevelType w:val="hybridMultilevel"/>
    <w:tmpl w:val="DEBA22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957392"/>
    <w:multiLevelType w:val="hybridMultilevel"/>
    <w:tmpl w:val="ED128AA0"/>
    <w:lvl w:ilvl="0" w:tplc="F2565504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D0658A9"/>
    <w:multiLevelType w:val="hybridMultilevel"/>
    <w:tmpl w:val="46AE0042"/>
    <w:lvl w:ilvl="0" w:tplc="508EE572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D0F1D6A"/>
    <w:multiLevelType w:val="hybridMultilevel"/>
    <w:tmpl w:val="002E5C16"/>
    <w:lvl w:ilvl="0" w:tplc="0CAC7422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E4F1D06"/>
    <w:multiLevelType w:val="hybridMultilevel"/>
    <w:tmpl w:val="5A366084"/>
    <w:lvl w:ilvl="0" w:tplc="FD3EEC5C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E615A57"/>
    <w:multiLevelType w:val="hybridMultilevel"/>
    <w:tmpl w:val="0F0E1060"/>
    <w:lvl w:ilvl="0" w:tplc="385A230A">
      <w:start w:val="1"/>
      <w:numFmt w:val="lowerLetter"/>
      <w:lvlText w:val="%1."/>
      <w:lvlJc w:val="left"/>
      <w:pPr>
        <w:ind w:left="128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70B94C34"/>
    <w:multiLevelType w:val="hybridMultilevel"/>
    <w:tmpl w:val="3B664324"/>
    <w:lvl w:ilvl="0" w:tplc="385A230A">
      <w:start w:val="1"/>
      <w:numFmt w:val="lowerLetter"/>
      <w:lvlText w:val="%1."/>
      <w:lvlJc w:val="left"/>
      <w:pPr>
        <w:ind w:left="135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5" w15:restartNumberingAfterBreak="0">
    <w:nsid w:val="71B20BEB"/>
    <w:multiLevelType w:val="hybridMultilevel"/>
    <w:tmpl w:val="EF50663E"/>
    <w:lvl w:ilvl="0" w:tplc="385A230A">
      <w:start w:val="1"/>
      <w:numFmt w:val="lowerLetter"/>
      <w:lvlText w:val="%1."/>
      <w:lvlJc w:val="left"/>
      <w:pPr>
        <w:ind w:left="1429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73793222"/>
    <w:multiLevelType w:val="hybridMultilevel"/>
    <w:tmpl w:val="1444C1A8"/>
    <w:lvl w:ilvl="0" w:tplc="385A230A">
      <w:start w:val="1"/>
      <w:numFmt w:val="lowerLetter"/>
      <w:lvlText w:val="%1."/>
      <w:lvlJc w:val="left"/>
      <w:pPr>
        <w:ind w:left="135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7" w15:restartNumberingAfterBreak="0">
    <w:nsid w:val="76C70B7D"/>
    <w:multiLevelType w:val="hybridMultilevel"/>
    <w:tmpl w:val="EC90E1E8"/>
    <w:lvl w:ilvl="0" w:tplc="385A230A">
      <w:start w:val="1"/>
      <w:numFmt w:val="lowerLetter"/>
      <w:lvlText w:val="%1."/>
      <w:lvlJc w:val="left"/>
      <w:pPr>
        <w:ind w:left="128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 w15:restartNumberingAfterBreak="0">
    <w:nsid w:val="7EE67EE3"/>
    <w:multiLevelType w:val="hybridMultilevel"/>
    <w:tmpl w:val="46269E04"/>
    <w:lvl w:ilvl="0" w:tplc="6AEA1D8C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18"/>
  </w:num>
  <w:num w:numId="3">
    <w:abstractNumId w:val="8"/>
  </w:num>
  <w:num w:numId="4">
    <w:abstractNumId w:val="10"/>
  </w:num>
  <w:num w:numId="5">
    <w:abstractNumId w:val="21"/>
  </w:num>
  <w:num w:numId="6">
    <w:abstractNumId w:val="30"/>
  </w:num>
  <w:num w:numId="7">
    <w:abstractNumId w:val="26"/>
  </w:num>
  <w:num w:numId="8">
    <w:abstractNumId w:val="5"/>
  </w:num>
  <w:num w:numId="9">
    <w:abstractNumId w:val="38"/>
  </w:num>
  <w:num w:numId="10">
    <w:abstractNumId w:val="31"/>
  </w:num>
  <w:num w:numId="11">
    <w:abstractNumId w:val="25"/>
  </w:num>
  <w:num w:numId="12">
    <w:abstractNumId w:val="1"/>
  </w:num>
  <w:num w:numId="13">
    <w:abstractNumId w:val="27"/>
  </w:num>
  <w:num w:numId="14">
    <w:abstractNumId w:val="3"/>
  </w:num>
  <w:num w:numId="15">
    <w:abstractNumId w:val="32"/>
  </w:num>
  <w:num w:numId="16">
    <w:abstractNumId w:val="24"/>
  </w:num>
  <w:num w:numId="17">
    <w:abstractNumId w:val="19"/>
  </w:num>
  <w:num w:numId="18">
    <w:abstractNumId w:val="4"/>
  </w:num>
  <w:num w:numId="19">
    <w:abstractNumId w:val="13"/>
  </w:num>
  <w:num w:numId="2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</w:num>
  <w:num w:numId="22">
    <w:abstractNumId w:val="9"/>
  </w:num>
  <w:num w:numId="23">
    <w:abstractNumId w:val="29"/>
  </w:num>
  <w:num w:numId="24">
    <w:abstractNumId w:val="33"/>
  </w:num>
  <w:num w:numId="25">
    <w:abstractNumId w:val="22"/>
  </w:num>
  <w:num w:numId="26">
    <w:abstractNumId w:val="12"/>
  </w:num>
  <w:num w:numId="27">
    <w:abstractNumId w:val="35"/>
  </w:num>
  <w:num w:numId="28">
    <w:abstractNumId w:val="11"/>
  </w:num>
  <w:num w:numId="29">
    <w:abstractNumId w:val="37"/>
  </w:num>
  <w:num w:numId="30">
    <w:abstractNumId w:val="2"/>
  </w:num>
  <w:num w:numId="31">
    <w:abstractNumId w:val="16"/>
  </w:num>
  <w:num w:numId="32">
    <w:abstractNumId w:val="20"/>
  </w:num>
  <w:num w:numId="33">
    <w:abstractNumId w:val="15"/>
  </w:num>
  <w:num w:numId="34">
    <w:abstractNumId w:val="6"/>
  </w:num>
  <w:num w:numId="35">
    <w:abstractNumId w:val="0"/>
  </w:num>
  <w:num w:numId="36">
    <w:abstractNumId w:val="14"/>
  </w:num>
  <w:num w:numId="37">
    <w:abstractNumId w:val="23"/>
  </w:num>
  <w:num w:numId="38">
    <w:abstractNumId w:val="34"/>
  </w:num>
  <w:num w:numId="39">
    <w:abstractNumId w:val="36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829"/>
    <w:rsid w:val="000B2829"/>
    <w:rsid w:val="001867A9"/>
    <w:rsid w:val="00327AA7"/>
    <w:rsid w:val="00541905"/>
    <w:rsid w:val="0054579F"/>
    <w:rsid w:val="006B4982"/>
    <w:rsid w:val="007D1A73"/>
    <w:rsid w:val="00A12695"/>
    <w:rsid w:val="00F0663C"/>
    <w:rsid w:val="00F16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A7B7E4-223F-4FDD-B833-C9EA121D0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867A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867A9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7D1A73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7D1A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D1A73"/>
  </w:style>
  <w:style w:type="paragraph" w:styleId="Stopka">
    <w:name w:val="footer"/>
    <w:basedOn w:val="Normalny"/>
    <w:link w:val="StopkaZnak"/>
    <w:uiPriority w:val="99"/>
    <w:unhideWhenUsed/>
    <w:rsid w:val="007D1A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1A73"/>
  </w:style>
  <w:style w:type="paragraph" w:styleId="Tekstdymka">
    <w:name w:val="Balloon Text"/>
    <w:basedOn w:val="Normalny"/>
    <w:link w:val="TekstdymkaZnak"/>
    <w:uiPriority w:val="99"/>
    <w:semiHidden/>
    <w:unhideWhenUsed/>
    <w:rsid w:val="005457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57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urlSearch.seam?HitlistCaption=Odes%C5%82ania&amp;pap_group=25009446&amp;refSource=guide&amp;sortField=document-date&amp;filterByUniqueVersionBaseId=true" TargetMode="External"/><Relationship Id="rId13" Type="http://schemas.openxmlformats.org/officeDocument/2006/relationships/hyperlink" Target="https://sip.legalis.pl/document-view.seam?documentId=mfrxilrtg4ytimjwheytkltqmfyc4njqhe3tcmbxgy" TargetMode="External"/><Relationship Id="rId18" Type="http://schemas.openxmlformats.org/officeDocument/2006/relationships/hyperlink" Target="https://sip.legalis.pl/urlSearch.seam?HitlistCaption=Odes%C5%82ania&amp;pap_group=25009536&amp;refSource=guide&amp;sortField=document-date&amp;filterByUniqueVersionBaseId=tru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sip.legalis.pl/document-view.seam?documentId=mfrxilrtg4yteobqgqztqltqmfyc4nbuha2dcobwge" TargetMode="External"/><Relationship Id="rId7" Type="http://schemas.openxmlformats.org/officeDocument/2006/relationships/hyperlink" Target="https://sip.legalis.pl/urlSearch.seam?HitlistCaption=Odes%C5%82ania&amp;pap_group=25009446&amp;refSource=guide&amp;sortField=document-date&amp;filterByUniqueVersionBaseId=true" TargetMode="External"/><Relationship Id="rId12" Type="http://schemas.openxmlformats.org/officeDocument/2006/relationships/hyperlink" Target="https://sip.legalis.pl/document-view.seam?documentId=mfrxilrtg4ytimjwheytkltqmfyc4njqhe3tcmbwg4" TargetMode="External"/><Relationship Id="rId17" Type="http://schemas.openxmlformats.org/officeDocument/2006/relationships/hyperlink" Target="https://sip.legalis.pl/urlSearch.seam?HitlistCaption=Odes%C5%82ania&amp;pap_group=25009612&amp;refSource=guide&amp;sortField=document-date&amp;filterByUniqueVersionBaseId=true" TargetMode="External"/><Relationship Id="rId2" Type="http://schemas.openxmlformats.org/officeDocument/2006/relationships/styles" Target="styles.xml"/><Relationship Id="rId16" Type="http://schemas.openxmlformats.org/officeDocument/2006/relationships/hyperlink" Target="https://sip.legalis.pl/urlSearch.seam?HitlistCaption=Odes%C5%82ania&amp;pap_group=25009447&amp;refSource=guide&amp;sortField=document-date&amp;filterByUniqueVersionBaseId=true" TargetMode="External"/><Relationship Id="rId20" Type="http://schemas.openxmlformats.org/officeDocument/2006/relationships/hyperlink" Target="https://sip.legalis.pl/urlSearch.seam?HitlistCaption=Odes%C5%82ania&amp;pap_group=25009536&amp;refSource=guide&amp;sortField=document-date&amp;filterByUniqueVersionBaseId=tru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ip.legalis.pl/document-view.seam?documentId=mfrxilrtg4ytimjwheytkltqmfyc4njqhe3tcmbxgy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sip.legalis.pl/urlSearch.seam?HitlistCaption=Odes&#322;ania&amp;pap_group=25009424&amp;sortField=document-date&amp;filterByUniqueVersionBaseId=true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sip.legalis.pl/urlSearch.seam?HitlistCaption=Odes&#322;ania&amp;pap_group=25009387&amp;sortField=document-date&amp;filterByUniqueVersionBaseId=true" TargetMode="External"/><Relationship Id="rId19" Type="http://schemas.openxmlformats.org/officeDocument/2006/relationships/hyperlink" Target="https://sip.legalis.pl/urlSearch.seam?HitlistCaption=Odes%C5%82ania&amp;pap_group=25009612&amp;refSource=guide&amp;sortField=document-date&amp;filterByUniqueVersionBaseId=tru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p.legalis.pl/urlSearch.seam?HitlistCaption=Odes%C5%82ania&amp;pap_group=25009446&amp;refSource=guide&amp;sortField=document-date&amp;filterByUniqueVersionBaseId=true" TargetMode="External"/><Relationship Id="rId14" Type="http://schemas.openxmlformats.org/officeDocument/2006/relationships/hyperlink" Target="https://sip.legalis.pl/document-view.seam?documentId=mfrxilrtg4ytimjwheytkltqmfyc4njqhe3tcmbwg4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15</Pages>
  <Words>2241</Words>
  <Characters>13450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Wysocka - Olechowska</dc:creator>
  <cp:keywords/>
  <dc:description/>
  <cp:lastModifiedBy>Magdalena Wysocka-Olechnowska</cp:lastModifiedBy>
  <cp:revision>7</cp:revision>
  <cp:lastPrinted>2022-03-08T08:56:00Z</cp:lastPrinted>
  <dcterms:created xsi:type="dcterms:W3CDTF">2022-03-06T22:50:00Z</dcterms:created>
  <dcterms:modified xsi:type="dcterms:W3CDTF">2022-03-08T08:56:00Z</dcterms:modified>
</cp:coreProperties>
</file>