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567" w:hanging="567"/>
        <w:jc w:val="center"/>
        <w:rPr>
          <w:rFonts w:ascii="Times New Roman" w:hAnsi="Times New Roman"/>
          <w:i/>
          <w:iCs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rPr>
          <w:rFonts w:ascii="Times New Roman" w:hAnsi="Times New Roman"/>
          <w:sz w:val="24"/>
          <w:szCs w:val="24"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KONKURS NA STANOWISKO ASYSTENTA SĘDZIEGO</w:t>
      </w: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W SĄDZIE REJONOWYM W NAKLE NAD NOTECIĄ</w:t>
      </w: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12 sierpnia 2019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r.</w:t>
      </w:r>
    </w:p>
    <w:p w:rsidR="00424385" w:rsidRPr="00E02593" w:rsidRDefault="00424385" w:rsidP="00424385">
      <w:pPr>
        <w:pStyle w:val="Normalny1"/>
        <w:tabs>
          <w:tab w:val="left" w:pos="222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eastAsia="Times New Roman" w:hAnsi="Times New Roman"/>
          <w:b/>
          <w:bCs/>
          <w:sz w:val="28"/>
          <w:szCs w:val="28"/>
        </w:rPr>
        <w:tab/>
      </w: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E02593">
        <w:rPr>
          <w:rFonts w:ascii="Times New Roman" w:hAnsi="Times New Roman"/>
          <w:b/>
          <w:bCs/>
          <w:sz w:val="24"/>
          <w:szCs w:val="24"/>
          <w:u w:val="single"/>
        </w:rPr>
        <w:t>Pouczenie:</w:t>
      </w: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Times New Roman" w:eastAsia="Times New Roman" w:hAnsi="Times New Roman"/>
          <w:b/>
          <w:bCs/>
          <w:sz w:val="16"/>
          <w:szCs w:val="16"/>
          <w:u w:val="single"/>
        </w:rPr>
      </w:pPr>
    </w:p>
    <w:p w:rsidR="00424385" w:rsidRPr="00E02593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1.</w:t>
      </w:r>
      <w:r w:rsidRPr="00E02593">
        <w:rPr>
          <w:rFonts w:ascii="Times New Roman" w:hAnsi="Times New Roman"/>
          <w:b/>
          <w:bCs/>
          <w:sz w:val="24"/>
          <w:szCs w:val="24"/>
        </w:rPr>
        <w:tab/>
        <w:t>Przed przystąpieniem do rozwiązania zestawu pytań testowych należy sprawdzić, czy zawiera on wszystkie kolejno ponumerowane pytania od 1 do 36. W przypadku braku którejkolwiek ze stron, należy o tym niezwłocznie zawiadomić Komisję Kwalifikacyjną;</w:t>
      </w:r>
    </w:p>
    <w:p w:rsidR="00424385" w:rsidRPr="00E02593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 xml:space="preserve">2.  Zestaw pytań testowych składa się z 36 pytań jednokrotnego wyboru, przy czym każde pytanie zawiera po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propozycje odpowiedzi. Wybór odpowiedzi polega na zakreśleniu na karcie jednej z </w:t>
      </w:r>
      <w:r>
        <w:rPr>
          <w:rFonts w:ascii="Times New Roman" w:hAnsi="Times New Roman"/>
          <w:b/>
          <w:bCs/>
          <w:sz w:val="24"/>
          <w:szCs w:val="24"/>
        </w:rPr>
        <w:t>dwóch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propozycji odpowiedzi w odpowiedniej kolumnie (A albo B). Prawidłowa jest odpowiedź, która w połączeniu z treścią pytania tworzy – w świetle obowiązującego prawa - zdanie prawdziwe. Na każde pytanie testowe tylko jedna odpowiedź jest prawidłowa. Niedopuszczalne jest dokonywanie dodatkowych założeń, wykraczających poza treść pytania.</w:t>
      </w:r>
    </w:p>
    <w:p w:rsidR="00424385" w:rsidRPr="00E02593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 xml:space="preserve">3.   </w:t>
      </w:r>
      <w:r w:rsidRPr="00E02593">
        <w:rPr>
          <w:rFonts w:ascii="Times New Roman" w:hAnsi="Times New Roman"/>
          <w:b/>
          <w:bCs/>
          <w:sz w:val="24"/>
          <w:szCs w:val="24"/>
          <w:u w:val="single"/>
        </w:rPr>
        <w:t>Zmiana zakreślonej odpowiedzi jest niedozwolona.;</w:t>
      </w:r>
    </w:p>
    <w:p w:rsidR="00424385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4.   Za każdą prawidłową odpowiedź kandydat otrzymuje 1 punkt. W przypadku zaznaczenia więcej niż jednej odpowiedzi, żadna z odpowiedzi nie podlega zaliczeniu jako prawidłowa.</w:t>
      </w:r>
    </w:p>
    <w:p w:rsidR="00424385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Część pisemna polega na udzieleniu odpowiedzi na jeden z dwóch wybranych przez kandydata tematów. </w:t>
      </w:r>
    </w:p>
    <w:p w:rsidR="00424385" w:rsidRPr="00E02593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  Praca pisemna oceniana jest w skali od 0 do 9 punktów.</w:t>
      </w:r>
    </w:p>
    <w:p w:rsidR="00424385" w:rsidRPr="00E02593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.   Prawidłowość odpowiedzi ocenia się według stanu prawnego na dzień </w:t>
      </w:r>
      <w:r>
        <w:rPr>
          <w:rFonts w:ascii="Times New Roman" w:hAnsi="Times New Roman"/>
          <w:b/>
          <w:bCs/>
          <w:sz w:val="24"/>
          <w:szCs w:val="24"/>
        </w:rPr>
        <w:t>12 sierpnia 2019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r.</w:t>
      </w:r>
    </w:p>
    <w:p w:rsidR="00424385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 </w:t>
      </w:r>
      <w:r w:rsidRPr="00E02593">
        <w:rPr>
          <w:rFonts w:ascii="Times New Roman" w:hAnsi="Times New Roman"/>
          <w:b/>
          <w:bCs/>
          <w:sz w:val="24"/>
          <w:szCs w:val="24"/>
        </w:rPr>
        <w:t>Czas na rozwiązanie zestawu pytań testowych wynosi 60</w:t>
      </w:r>
      <w:r>
        <w:rPr>
          <w:rFonts w:ascii="Times New Roman" w:hAnsi="Times New Roman"/>
          <w:b/>
          <w:bCs/>
          <w:sz w:val="24"/>
          <w:szCs w:val="24"/>
        </w:rPr>
        <w:t xml:space="preserve"> minut, czas na sporządzenie pracy pisemnej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Pr="00E02593">
        <w:rPr>
          <w:rFonts w:ascii="Times New Roman" w:hAnsi="Times New Roman"/>
          <w:b/>
          <w:bCs/>
          <w:sz w:val="24"/>
          <w:szCs w:val="24"/>
        </w:rPr>
        <w:t>30 minut</w:t>
      </w:r>
    </w:p>
    <w:p w:rsidR="00424385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4385" w:rsidRPr="00E02593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24385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 xml:space="preserve">ZESTAW PYTAŃ TESTOWYCH </w:t>
      </w:r>
      <w:r>
        <w:rPr>
          <w:rFonts w:ascii="Times New Roman" w:hAnsi="Times New Roman"/>
          <w:b/>
          <w:bCs/>
          <w:sz w:val="28"/>
          <w:szCs w:val="28"/>
        </w:rPr>
        <w:t>Z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PRAWA CYWILNEGO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MATERIALNEGO 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i </w:t>
      </w:r>
      <w:r>
        <w:rPr>
          <w:rFonts w:ascii="Times New Roman" w:hAnsi="Times New Roman"/>
          <w:b/>
          <w:bCs/>
          <w:sz w:val="28"/>
          <w:szCs w:val="28"/>
        </w:rPr>
        <w:t>PROCEDURY CYWILNEJ</w:t>
      </w:r>
    </w:p>
    <w:p w:rsidR="00424385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24385" w:rsidRPr="00E02593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1. Miejscem zamieszkania osoby fizycznej jest:</w:t>
      </w:r>
    </w:p>
    <w:p w:rsidR="00424385" w:rsidRDefault="00424385" w:rsidP="00424385">
      <w:pPr>
        <w:numPr>
          <w:ilvl w:val="0"/>
          <w:numId w:val="11"/>
        </w:numPr>
        <w:spacing w:after="0" w:line="240" w:lineRule="auto"/>
        <w:jc w:val="both"/>
      </w:pPr>
      <w:r>
        <w:t>miejscowość w której osoba ta przebywa przez dłuższy czas,</w:t>
      </w:r>
    </w:p>
    <w:p w:rsidR="00424385" w:rsidRDefault="00424385" w:rsidP="00424385">
      <w:pPr>
        <w:numPr>
          <w:ilvl w:val="0"/>
          <w:numId w:val="11"/>
        </w:numPr>
        <w:spacing w:after="0" w:line="240" w:lineRule="auto"/>
        <w:jc w:val="both"/>
      </w:pPr>
      <w:r>
        <w:t>miejscowość w której osoba ta przebywa z zamiarem stałego pobytu.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2. Pożytkami cywilnymi rzeczy są:</w:t>
      </w:r>
    </w:p>
    <w:p w:rsidR="00424385" w:rsidRDefault="00424385" w:rsidP="00424385">
      <w:pPr>
        <w:ind w:left="720"/>
        <w:jc w:val="both"/>
      </w:pPr>
    </w:p>
    <w:p w:rsidR="00424385" w:rsidRDefault="00424385" w:rsidP="00424385">
      <w:pPr>
        <w:numPr>
          <w:ilvl w:val="0"/>
          <w:numId w:val="12"/>
        </w:numPr>
        <w:spacing w:after="0" w:line="240" w:lineRule="auto"/>
        <w:jc w:val="both"/>
      </w:pPr>
      <w:r>
        <w:t>wyłącznie dochody uzyskiwane legalnie z tej rzeczy,</w:t>
      </w:r>
    </w:p>
    <w:p w:rsidR="00424385" w:rsidRDefault="00424385" w:rsidP="00424385">
      <w:pPr>
        <w:numPr>
          <w:ilvl w:val="0"/>
          <w:numId w:val="12"/>
        </w:numPr>
        <w:spacing w:after="0" w:line="240" w:lineRule="auto"/>
        <w:jc w:val="both"/>
      </w:pPr>
      <w:r>
        <w:t>dochody które rzecz ta przynosi na podstawie stosunku prawnego.</w:t>
      </w:r>
    </w:p>
    <w:p w:rsidR="00424385" w:rsidRDefault="00424385" w:rsidP="00424385">
      <w:pPr>
        <w:jc w:val="both"/>
      </w:pP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lastRenderedPageBreak/>
        <w:t>3. Dokumentem w rozumieniu prawa cywilnego jest:</w:t>
      </w:r>
    </w:p>
    <w:p w:rsidR="00424385" w:rsidRDefault="00424385" w:rsidP="00424385">
      <w:pPr>
        <w:numPr>
          <w:ilvl w:val="0"/>
          <w:numId w:val="13"/>
        </w:numPr>
        <w:spacing w:after="0" w:line="240" w:lineRule="auto"/>
        <w:jc w:val="both"/>
      </w:pPr>
      <w:r>
        <w:t>nośnik informacji umożliwiający zapoznanie się z jej treścią,</w:t>
      </w:r>
    </w:p>
    <w:p w:rsidR="00424385" w:rsidRDefault="00424385" w:rsidP="00424385">
      <w:pPr>
        <w:numPr>
          <w:ilvl w:val="0"/>
          <w:numId w:val="13"/>
        </w:numPr>
        <w:spacing w:after="0" w:line="240" w:lineRule="auto"/>
        <w:jc w:val="both"/>
      </w:pPr>
      <w:r>
        <w:t>nośnik informacji sporządzony w formie pisemnej.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4. Prokura:</w:t>
      </w:r>
    </w:p>
    <w:p w:rsidR="00424385" w:rsidRDefault="00424385" w:rsidP="00424385">
      <w:pPr>
        <w:numPr>
          <w:ilvl w:val="0"/>
          <w:numId w:val="14"/>
        </w:numPr>
        <w:spacing w:after="0" w:line="240" w:lineRule="auto"/>
        <w:jc w:val="both"/>
      </w:pPr>
      <w:r>
        <w:t>nigdy nie może być ograniczona ze skutkiem wobec osób trzecich,</w:t>
      </w:r>
    </w:p>
    <w:p w:rsidR="00424385" w:rsidRDefault="00424385" w:rsidP="00424385">
      <w:pPr>
        <w:numPr>
          <w:ilvl w:val="0"/>
          <w:numId w:val="14"/>
        </w:numPr>
        <w:spacing w:after="0" w:line="240" w:lineRule="auto"/>
        <w:jc w:val="both"/>
      </w:pPr>
      <w:r>
        <w:t>nie może być ograniczona ze skutkiem wobec osób trzecich, chyba że przepis szczególny stanowi inaczej,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5. Według obecnie obowiązujących przepisów termin przedawnienia roszczenia majątkowego wynosi:</w:t>
      </w:r>
    </w:p>
    <w:p w:rsidR="00424385" w:rsidRDefault="00424385" w:rsidP="00424385">
      <w:pPr>
        <w:numPr>
          <w:ilvl w:val="0"/>
          <w:numId w:val="15"/>
        </w:numPr>
        <w:spacing w:after="0" w:line="240" w:lineRule="auto"/>
        <w:jc w:val="both"/>
      </w:pPr>
      <w:r>
        <w:t>sześć lat z wyjątkiem roszczeń o świadczenia okresowe i związanych z prowadzeniem działalności gospodarczej,</w:t>
      </w:r>
    </w:p>
    <w:p w:rsidR="00424385" w:rsidRDefault="00424385" w:rsidP="00424385">
      <w:pPr>
        <w:numPr>
          <w:ilvl w:val="0"/>
          <w:numId w:val="15"/>
        </w:numPr>
        <w:spacing w:after="0" w:line="240" w:lineRule="auto"/>
        <w:jc w:val="both"/>
      </w:pPr>
      <w:r>
        <w:t>trzy lata z wyjątkiem roszczeń o świadczenia okresowe i związanych z prowadzeniem działalności gospodarczej,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6. Rój pszczół po opuszczeniu ula staje się niczyim jeżeli:</w:t>
      </w:r>
    </w:p>
    <w:p w:rsidR="00424385" w:rsidRDefault="00424385" w:rsidP="00424385">
      <w:pPr>
        <w:numPr>
          <w:ilvl w:val="0"/>
          <w:numId w:val="16"/>
        </w:numPr>
        <w:spacing w:after="0" w:line="240" w:lineRule="auto"/>
        <w:jc w:val="both"/>
      </w:pPr>
      <w:r>
        <w:t>właściciel nie odszukał go przed upływem trzech dni od dnia wyrojenia,</w:t>
      </w:r>
    </w:p>
    <w:p w:rsidR="00424385" w:rsidRDefault="00424385" w:rsidP="00424385">
      <w:pPr>
        <w:numPr>
          <w:ilvl w:val="0"/>
          <w:numId w:val="16"/>
        </w:numPr>
        <w:spacing w:after="0" w:line="240" w:lineRule="auto"/>
        <w:jc w:val="both"/>
      </w:pPr>
      <w:r>
        <w:t xml:space="preserve">właściciel nie odszukał go przed upływem 48 godzin od chwili wyrojenia. </w:t>
      </w:r>
    </w:p>
    <w:p w:rsidR="00424385" w:rsidRPr="00424385" w:rsidRDefault="00424385" w:rsidP="00424385">
      <w:pPr>
        <w:jc w:val="both"/>
        <w:rPr>
          <w:b/>
          <w:bCs/>
        </w:rPr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7. Zwolnienie z długu lub zrzeczenie się solidarności przez wierzyciela względem jednego z dłużników solidarnych:</w:t>
      </w:r>
    </w:p>
    <w:p w:rsidR="00424385" w:rsidRDefault="00424385" w:rsidP="00424385">
      <w:pPr>
        <w:numPr>
          <w:ilvl w:val="0"/>
          <w:numId w:val="17"/>
        </w:numPr>
        <w:spacing w:after="0" w:line="240" w:lineRule="auto"/>
        <w:jc w:val="both"/>
      </w:pPr>
      <w:r>
        <w:t>może odnieść skutek względem pozostałych współdłużników o ile wyrażą oni na to zgodę,</w:t>
      </w:r>
    </w:p>
    <w:p w:rsidR="00424385" w:rsidRDefault="00424385" w:rsidP="00424385">
      <w:pPr>
        <w:numPr>
          <w:ilvl w:val="0"/>
          <w:numId w:val="17"/>
        </w:numPr>
        <w:spacing w:after="0" w:line="240" w:lineRule="auto"/>
        <w:jc w:val="both"/>
      </w:pPr>
      <w:r>
        <w:t xml:space="preserve">nie ma skutku względem współdłużników. 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8. Kurator materialnoprawny ustanowiony wyłącznie do załatwienia danej sprawy w imieniu podopiecznego:</w:t>
      </w:r>
    </w:p>
    <w:p w:rsidR="00424385" w:rsidRDefault="00424385" w:rsidP="00424385">
      <w:pPr>
        <w:numPr>
          <w:ilvl w:val="0"/>
          <w:numId w:val="18"/>
        </w:numPr>
        <w:spacing w:after="0" w:line="240" w:lineRule="auto"/>
        <w:jc w:val="both"/>
      </w:pPr>
      <w:r>
        <w:t>traci swoje umocowanie z chwilą załatwienia tej sprawy – z mocy prawa,</w:t>
      </w:r>
    </w:p>
    <w:p w:rsidR="00424385" w:rsidRDefault="00424385" w:rsidP="00424385">
      <w:pPr>
        <w:numPr>
          <w:ilvl w:val="0"/>
          <w:numId w:val="18"/>
        </w:numPr>
        <w:spacing w:after="0" w:line="240" w:lineRule="auto"/>
        <w:jc w:val="both"/>
      </w:pPr>
      <w:r>
        <w:t>traci swoje umocowanie z chwilą załatwienia tej sprawy – dopiero po wydaniu odpowiedniej decyzji przez sąd,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9. Osoba ubezwłasnowolniona częściowo:</w:t>
      </w:r>
    </w:p>
    <w:p w:rsidR="00424385" w:rsidRDefault="00424385" w:rsidP="00424385">
      <w:pPr>
        <w:numPr>
          <w:ilvl w:val="0"/>
          <w:numId w:val="19"/>
        </w:numPr>
        <w:spacing w:after="0" w:line="240" w:lineRule="auto"/>
        <w:jc w:val="both"/>
      </w:pPr>
      <w:r>
        <w:t>posiada ograniczoną władzę rodzicielską nad małoletnim dzieckiem,</w:t>
      </w:r>
    </w:p>
    <w:p w:rsidR="00424385" w:rsidRDefault="00424385" w:rsidP="00424385">
      <w:pPr>
        <w:numPr>
          <w:ilvl w:val="0"/>
          <w:numId w:val="19"/>
        </w:numPr>
        <w:spacing w:after="0" w:line="240" w:lineRule="auto"/>
        <w:jc w:val="both"/>
      </w:pPr>
      <w:r>
        <w:t xml:space="preserve">nie przysługuje jej władza rodzicielska nad małoletnim dzieckiem, 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10. Pełnomocnikiem osoby fizycznej w procesie cywilnym może być:</w:t>
      </w:r>
    </w:p>
    <w:p w:rsidR="00424385" w:rsidRDefault="00424385" w:rsidP="00424385">
      <w:pPr>
        <w:numPr>
          <w:ilvl w:val="0"/>
          <w:numId w:val="28"/>
        </w:numPr>
        <w:spacing w:after="0" w:line="240" w:lineRule="auto"/>
        <w:jc w:val="both"/>
      </w:pPr>
      <w:r>
        <w:t xml:space="preserve">kuzyn strony, o ile jest jednocześnie adwokatem lub radcą prawnym, </w:t>
      </w:r>
    </w:p>
    <w:p w:rsidR="00424385" w:rsidRDefault="00424385" w:rsidP="00424385">
      <w:pPr>
        <w:numPr>
          <w:ilvl w:val="0"/>
          <w:numId w:val="28"/>
        </w:numPr>
        <w:spacing w:after="0" w:line="240" w:lineRule="auto"/>
        <w:jc w:val="both"/>
      </w:pPr>
      <w:r>
        <w:t xml:space="preserve">kuzyn strony, o ile pełnomocnictwo zostało mu udzielone w akcie notarialnym. 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11. Na zarządzenie o zwrocie wniosku o przywrócenie terminu:</w:t>
      </w:r>
    </w:p>
    <w:p w:rsidR="00424385" w:rsidRDefault="00424385" w:rsidP="00424385">
      <w:pPr>
        <w:numPr>
          <w:ilvl w:val="0"/>
          <w:numId w:val="27"/>
        </w:numPr>
        <w:spacing w:after="0" w:line="240" w:lineRule="auto"/>
        <w:jc w:val="both"/>
      </w:pPr>
      <w:r>
        <w:t>nie przysługuje zażalenie,</w:t>
      </w:r>
    </w:p>
    <w:p w:rsidR="00424385" w:rsidRDefault="00424385" w:rsidP="00424385">
      <w:pPr>
        <w:numPr>
          <w:ilvl w:val="0"/>
          <w:numId w:val="27"/>
        </w:numPr>
        <w:spacing w:after="0" w:line="240" w:lineRule="auto"/>
        <w:jc w:val="both"/>
      </w:pPr>
      <w:r>
        <w:t xml:space="preserve">zażalenie przysługuje tylko w wypadkach wskazanych w ustawie, </w:t>
      </w:r>
    </w:p>
    <w:p w:rsidR="00424385" w:rsidRDefault="00424385" w:rsidP="00424385">
      <w:pPr>
        <w:jc w:val="both"/>
      </w:pP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12. Zmiana powództwa:</w:t>
      </w:r>
    </w:p>
    <w:p w:rsidR="00424385" w:rsidRDefault="00424385" w:rsidP="00424385">
      <w:pPr>
        <w:numPr>
          <w:ilvl w:val="0"/>
          <w:numId w:val="20"/>
        </w:numPr>
        <w:spacing w:after="0" w:line="240" w:lineRule="auto"/>
        <w:jc w:val="both"/>
      </w:pPr>
      <w:r>
        <w:t>może być dokonana zarówno ustnie na rozprawie jak i w piśmie procesowym,</w:t>
      </w:r>
    </w:p>
    <w:p w:rsidR="00424385" w:rsidRDefault="00424385" w:rsidP="00424385">
      <w:pPr>
        <w:numPr>
          <w:ilvl w:val="0"/>
          <w:numId w:val="20"/>
        </w:numPr>
        <w:spacing w:after="0" w:line="240" w:lineRule="auto"/>
        <w:jc w:val="both"/>
      </w:pPr>
      <w:r>
        <w:t xml:space="preserve">może być dokonana wyłącznie w piśmie procesowym, chyba że chodzi o sprawy o roszczenia alimentacyjne. 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13. Środkami odwoławczymi są obecnie:</w:t>
      </w:r>
    </w:p>
    <w:p w:rsidR="00424385" w:rsidRDefault="00424385" w:rsidP="00424385">
      <w:pPr>
        <w:numPr>
          <w:ilvl w:val="0"/>
          <w:numId w:val="21"/>
        </w:numPr>
        <w:spacing w:after="0" w:line="240" w:lineRule="auto"/>
        <w:jc w:val="both"/>
      </w:pPr>
      <w:r>
        <w:t>apelacja i zażalenie,</w:t>
      </w:r>
    </w:p>
    <w:p w:rsidR="00424385" w:rsidRDefault="00424385" w:rsidP="00424385">
      <w:pPr>
        <w:numPr>
          <w:ilvl w:val="0"/>
          <w:numId w:val="21"/>
        </w:numPr>
        <w:spacing w:after="0" w:line="240" w:lineRule="auto"/>
        <w:jc w:val="both"/>
      </w:pPr>
      <w:r>
        <w:t xml:space="preserve">apelacja, sprzeciw i skarga kasacyjna. 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14. W sprawach o zabezpieczenie wartość przedmiotu sporu stanowi:</w:t>
      </w:r>
    </w:p>
    <w:p w:rsidR="00424385" w:rsidRDefault="00424385" w:rsidP="00424385">
      <w:pPr>
        <w:numPr>
          <w:ilvl w:val="0"/>
          <w:numId w:val="26"/>
        </w:numPr>
        <w:spacing w:after="0" w:line="240" w:lineRule="auto"/>
        <w:jc w:val="both"/>
      </w:pPr>
      <w:r>
        <w:t>wartość przedmiotu zabezpieczenia,</w:t>
      </w:r>
    </w:p>
    <w:p w:rsidR="00424385" w:rsidRDefault="00424385" w:rsidP="00424385">
      <w:pPr>
        <w:numPr>
          <w:ilvl w:val="0"/>
          <w:numId w:val="26"/>
        </w:numPr>
        <w:spacing w:after="0" w:line="240" w:lineRule="auto"/>
        <w:jc w:val="both"/>
      </w:pPr>
      <w:r>
        <w:t>suma wierzytelności, jednakże w wypadku gdy przedmiot zabezpieczenia ma mniejszą wartość niż wierzytelność decyduje wartość przedmiotu zabezpieczenia.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15. Sądem II instancji w sprawach o odebranie osoby podlegającej władzy rodzicielskiej prowadzonych na podstawie tzw. konwencji haskiej z 1980 r. od dnia 27 sierpnia 2018 r. jest:</w:t>
      </w:r>
    </w:p>
    <w:p w:rsidR="00424385" w:rsidRDefault="00424385" w:rsidP="00424385">
      <w:pPr>
        <w:numPr>
          <w:ilvl w:val="0"/>
          <w:numId w:val="22"/>
        </w:numPr>
        <w:spacing w:after="0" w:line="240" w:lineRule="auto"/>
        <w:jc w:val="both"/>
      </w:pPr>
      <w:r>
        <w:t>miejscowo właściwy sąd apelacyjny,</w:t>
      </w:r>
    </w:p>
    <w:p w:rsidR="00424385" w:rsidRDefault="00424385" w:rsidP="00424385">
      <w:pPr>
        <w:numPr>
          <w:ilvl w:val="0"/>
          <w:numId w:val="22"/>
        </w:numPr>
        <w:spacing w:after="0" w:line="240" w:lineRule="auto"/>
        <w:jc w:val="both"/>
      </w:pPr>
      <w:r>
        <w:t>Sąd Apelacyjny w Warszawie.</w:t>
      </w:r>
    </w:p>
    <w:p w:rsidR="00424385" w:rsidRDefault="00424385" w:rsidP="00424385">
      <w:pPr>
        <w:ind w:left="720"/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16. Sprawy o ograniczenie władzy rodzicielskiej rozpoznawane są w I instancji przez sąd w składzie:</w:t>
      </w:r>
    </w:p>
    <w:p w:rsidR="00424385" w:rsidRDefault="00424385" w:rsidP="00424385">
      <w:pPr>
        <w:numPr>
          <w:ilvl w:val="0"/>
          <w:numId w:val="23"/>
        </w:numPr>
        <w:spacing w:after="0" w:line="240" w:lineRule="auto"/>
        <w:jc w:val="both"/>
      </w:pPr>
      <w:r>
        <w:t>jednego sędziego,</w:t>
      </w:r>
    </w:p>
    <w:p w:rsidR="00424385" w:rsidRDefault="00424385" w:rsidP="00424385">
      <w:pPr>
        <w:numPr>
          <w:ilvl w:val="0"/>
          <w:numId w:val="23"/>
        </w:numPr>
        <w:spacing w:after="0" w:line="240" w:lineRule="auto"/>
        <w:jc w:val="both"/>
      </w:pPr>
      <w:r>
        <w:t>jednego sędziego i dwóch ławników,</w:t>
      </w: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17. Sądem rejonowym właściwym do rozpoznania skargi na czynność komornika od dnia 1 stycznia 2019 r. jest:</w:t>
      </w:r>
    </w:p>
    <w:p w:rsidR="00424385" w:rsidRDefault="00424385" w:rsidP="00424385">
      <w:pPr>
        <w:numPr>
          <w:ilvl w:val="0"/>
          <w:numId w:val="24"/>
        </w:numPr>
        <w:spacing w:after="0" w:line="240" w:lineRule="auto"/>
        <w:jc w:val="both"/>
      </w:pPr>
      <w:r>
        <w:t>sąd miejsca zamieszkania dłużnika,</w:t>
      </w:r>
    </w:p>
    <w:p w:rsidR="00424385" w:rsidRDefault="00424385" w:rsidP="00424385">
      <w:pPr>
        <w:numPr>
          <w:ilvl w:val="0"/>
          <w:numId w:val="24"/>
        </w:numPr>
        <w:spacing w:after="0" w:line="240" w:lineRule="auto"/>
        <w:jc w:val="both"/>
      </w:pPr>
      <w:r>
        <w:t>sąd miejsca siedziby kancelarii komornika,</w:t>
      </w:r>
    </w:p>
    <w:p w:rsidR="00424385" w:rsidRDefault="00424385" w:rsidP="00424385">
      <w:pPr>
        <w:jc w:val="both"/>
      </w:pPr>
    </w:p>
    <w:p w:rsidR="00424385" w:rsidRDefault="00424385" w:rsidP="00424385">
      <w:pPr>
        <w:jc w:val="both"/>
      </w:pPr>
    </w:p>
    <w:p w:rsidR="00424385" w:rsidRPr="00424385" w:rsidRDefault="00424385" w:rsidP="00424385">
      <w:pPr>
        <w:jc w:val="both"/>
        <w:rPr>
          <w:b/>
          <w:bCs/>
        </w:rPr>
      </w:pPr>
    </w:p>
    <w:p w:rsidR="00424385" w:rsidRPr="00424385" w:rsidRDefault="00424385" w:rsidP="00424385">
      <w:pPr>
        <w:jc w:val="both"/>
        <w:rPr>
          <w:b/>
          <w:bCs/>
        </w:rPr>
      </w:pPr>
      <w:r w:rsidRPr="00424385">
        <w:rPr>
          <w:b/>
          <w:bCs/>
        </w:rPr>
        <w:t>18. Tytułowi egzekucyjnemu podwyższającemu alimenty sąd nadaje klauzulę wykonalności:</w:t>
      </w:r>
    </w:p>
    <w:p w:rsidR="00424385" w:rsidRDefault="00424385" w:rsidP="00424385">
      <w:pPr>
        <w:numPr>
          <w:ilvl w:val="0"/>
          <w:numId w:val="25"/>
        </w:numPr>
        <w:spacing w:after="0" w:line="240" w:lineRule="auto"/>
        <w:jc w:val="both"/>
      </w:pPr>
      <w:r>
        <w:t>zawsze z urzędu,</w:t>
      </w:r>
    </w:p>
    <w:p w:rsidR="00424385" w:rsidRDefault="00424385" w:rsidP="00424385">
      <w:pPr>
        <w:numPr>
          <w:ilvl w:val="0"/>
          <w:numId w:val="25"/>
        </w:numPr>
        <w:spacing w:after="0" w:line="240" w:lineRule="auto"/>
        <w:jc w:val="both"/>
      </w:pPr>
      <w:r>
        <w:t>wyłącznie na wniosek wierzyciela,</w:t>
      </w:r>
    </w:p>
    <w:p w:rsidR="00424385" w:rsidRDefault="00424385" w:rsidP="00424385">
      <w:pPr>
        <w:jc w:val="both"/>
      </w:pP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</w:p>
    <w:p w:rsidR="00424385" w:rsidRDefault="00424385" w:rsidP="00424385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lastRenderedPageBreak/>
        <w:t xml:space="preserve">ZESTAW PYTAŃ TESTOWYCH </w:t>
      </w:r>
      <w:r>
        <w:rPr>
          <w:rFonts w:ascii="Times New Roman" w:hAnsi="Times New Roman"/>
          <w:b/>
          <w:bCs/>
          <w:sz w:val="28"/>
          <w:szCs w:val="28"/>
        </w:rPr>
        <w:t xml:space="preserve"> Z 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PRAWA KARNEGO  MATERIALNEGO 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i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PROCEDURY KARNEJ</w:t>
      </w: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993" w:hanging="426"/>
        <w:jc w:val="both"/>
        <w:rPr>
          <w:rFonts w:ascii="Times New Roman" w:eastAsia="Times New Roman" w:hAnsi="Times New Roman"/>
          <w:sz w:val="24"/>
          <w:szCs w:val="24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19.  </w:t>
      </w:r>
      <w:r w:rsidRPr="007D24B9">
        <w:rPr>
          <w:rFonts w:eastAsia="Calibri"/>
          <w:b/>
        </w:rPr>
        <w:t xml:space="preserve">Zgodnie z Kodeksem karnym, </w:t>
      </w:r>
      <w:r w:rsidR="0015728D">
        <w:rPr>
          <w:rFonts w:eastAsia="Calibri"/>
          <w:b/>
        </w:rPr>
        <w:t>n</w:t>
      </w:r>
      <w:r w:rsidR="0015728D" w:rsidRPr="0015728D">
        <w:rPr>
          <w:rFonts w:eastAsia="Calibri"/>
          <w:b/>
        </w:rPr>
        <w:t>ie stanowi przestępstwa czyn zabroniony</w:t>
      </w:r>
      <w:r w:rsidRPr="007D24B9">
        <w:rPr>
          <w:rFonts w:eastAsia="Calibri"/>
          <w:b/>
        </w:rPr>
        <w:t>: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A. </w:t>
      </w:r>
      <w:r w:rsidRPr="007D24B9">
        <w:rPr>
          <w:rFonts w:eastAsia="Calibri"/>
        </w:rPr>
        <w:tab/>
      </w:r>
      <w:r w:rsidR="0015728D">
        <w:rPr>
          <w:rFonts w:ascii="Verdana" w:hAnsi="Verdana"/>
          <w:color w:val="000000"/>
          <w:sz w:val="20"/>
          <w:szCs w:val="20"/>
        </w:rPr>
        <w:t>którego społeczna szkodliwość jest znikoma</w:t>
      </w:r>
      <w:r w:rsidRPr="007D24B9">
        <w:rPr>
          <w:rFonts w:eastAsia="Calibri"/>
        </w:rPr>
        <w:t xml:space="preserve">, 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B. </w:t>
      </w:r>
      <w:r w:rsidRPr="007D24B9">
        <w:rPr>
          <w:rFonts w:eastAsia="Calibri"/>
        </w:rPr>
        <w:tab/>
      </w:r>
      <w:r w:rsidR="0015728D">
        <w:rPr>
          <w:rFonts w:ascii="Verdana" w:hAnsi="Verdana"/>
          <w:color w:val="000000"/>
          <w:sz w:val="20"/>
          <w:szCs w:val="20"/>
        </w:rPr>
        <w:t xml:space="preserve">którego społeczna szkodliwość </w:t>
      </w:r>
      <w:r w:rsidR="0015728D">
        <w:rPr>
          <w:rFonts w:ascii="Verdana" w:hAnsi="Verdana"/>
          <w:color w:val="000000"/>
          <w:sz w:val="20"/>
          <w:szCs w:val="20"/>
        </w:rPr>
        <w:t xml:space="preserve">nie </w:t>
      </w:r>
      <w:r w:rsidR="0015728D">
        <w:rPr>
          <w:rFonts w:ascii="Verdana" w:hAnsi="Verdana"/>
          <w:color w:val="000000"/>
          <w:sz w:val="20"/>
          <w:szCs w:val="20"/>
        </w:rPr>
        <w:t xml:space="preserve">jest </w:t>
      </w:r>
      <w:r w:rsidR="0015728D">
        <w:rPr>
          <w:rFonts w:ascii="Verdana" w:hAnsi="Verdana"/>
          <w:color w:val="000000"/>
          <w:sz w:val="20"/>
          <w:szCs w:val="20"/>
        </w:rPr>
        <w:t>znaczna</w:t>
      </w:r>
      <w:r w:rsidRPr="007D24B9">
        <w:rPr>
          <w:rFonts w:eastAsia="Calibri"/>
        </w:rPr>
        <w:t>,</w:t>
      </w: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 w:rsidRPr="007D24B9">
        <w:rPr>
          <w:rFonts w:eastAsia="Calibri"/>
          <w:b/>
        </w:rPr>
        <w:t>2</w:t>
      </w:r>
      <w:r>
        <w:rPr>
          <w:rFonts w:eastAsia="Calibri"/>
          <w:b/>
        </w:rPr>
        <w:t>0</w:t>
      </w:r>
      <w:r w:rsidRPr="007D24B9">
        <w:rPr>
          <w:rFonts w:eastAsia="Calibri"/>
          <w:b/>
        </w:rPr>
        <w:t>.</w:t>
      </w:r>
      <w:r w:rsidRPr="007D24B9">
        <w:rPr>
          <w:rFonts w:eastAsia="Calibri"/>
          <w:b/>
        </w:rPr>
        <w:tab/>
        <w:t xml:space="preserve">Zgodnie z Kodeksem karnym, </w:t>
      </w:r>
      <w:r w:rsidR="00D66EEA">
        <w:rPr>
          <w:rFonts w:eastAsia="Calibri"/>
          <w:b/>
        </w:rPr>
        <w:t>z</w:t>
      </w:r>
      <w:r w:rsidR="0015728D" w:rsidRPr="0015728D">
        <w:rPr>
          <w:rFonts w:eastAsia="Calibri"/>
          <w:b/>
        </w:rPr>
        <w:t>brodnię można popełnić</w:t>
      </w:r>
      <w:r w:rsidRPr="007D24B9">
        <w:rPr>
          <w:rFonts w:eastAsia="Calibri"/>
          <w:b/>
        </w:rPr>
        <w:t xml:space="preserve">: 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A. </w:t>
      </w:r>
      <w:r w:rsidRPr="007D24B9">
        <w:rPr>
          <w:rFonts w:eastAsia="Calibri"/>
        </w:rPr>
        <w:tab/>
      </w:r>
      <w:r w:rsidR="00D66EEA">
        <w:rPr>
          <w:rFonts w:ascii="Verdana" w:hAnsi="Verdana"/>
          <w:color w:val="000000"/>
          <w:sz w:val="20"/>
          <w:szCs w:val="20"/>
        </w:rPr>
        <w:t>tylko umyślnie</w:t>
      </w:r>
      <w:r w:rsidRPr="007D24B9">
        <w:rPr>
          <w:rFonts w:eastAsia="Calibri"/>
        </w:rPr>
        <w:t xml:space="preserve">, </w:t>
      </w:r>
    </w:p>
    <w:p w:rsidR="00424385" w:rsidRPr="007D24B9" w:rsidRDefault="00424385" w:rsidP="00D66EEA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B. </w:t>
      </w:r>
      <w:r w:rsidRPr="007D24B9">
        <w:rPr>
          <w:rFonts w:eastAsia="Calibri"/>
        </w:rPr>
        <w:tab/>
      </w:r>
      <w:r w:rsidR="00D66EEA">
        <w:rPr>
          <w:rFonts w:eastAsia="Calibri"/>
        </w:rPr>
        <w:t xml:space="preserve">umyślnie, a </w:t>
      </w:r>
      <w:r w:rsidR="00D66EEA" w:rsidRPr="00D66EEA">
        <w:rPr>
          <w:rFonts w:eastAsia="Calibri"/>
        </w:rPr>
        <w:t>także nieumyślnie, jeżeli ustawa tak stanowi</w:t>
      </w:r>
      <w:r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21</w:t>
      </w:r>
      <w:r w:rsidRPr="007D24B9">
        <w:rPr>
          <w:rFonts w:eastAsia="Calibri"/>
          <w:b/>
        </w:rPr>
        <w:t>.</w:t>
      </w:r>
      <w:r w:rsidRPr="007D24B9">
        <w:rPr>
          <w:rFonts w:eastAsia="Calibri"/>
          <w:b/>
        </w:rPr>
        <w:tab/>
        <w:t xml:space="preserve">Zgodnie z Kodeksem karnym, </w:t>
      </w:r>
      <w:r w:rsidR="00DF5DB0">
        <w:rPr>
          <w:rFonts w:eastAsia="Calibri"/>
          <w:b/>
        </w:rPr>
        <w:t>przygotowanie do popełnienia czynu zabronionego</w:t>
      </w:r>
      <w:r w:rsidRPr="007D24B9">
        <w:rPr>
          <w:rFonts w:eastAsia="Calibri"/>
          <w:b/>
        </w:rPr>
        <w:t xml:space="preserve">: 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A. </w:t>
      </w:r>
      <w:r w:rsidRPr="007D24B9">
        <w:rPr>
          <w:rFonts w:eastAsia="Calibri"/>
        </w:rPr>
        <w:tab/>
      </w:r>
      <w:r w:rsidR="00DF5DB0">
        <w:rPr>
          <w:rFonts w:eastAsia="Calibri"/>
        </w:rPr>
        <w:t>nie jest karalne</w:t>
      </w:r>
      <w:r w:rsidRPr="007D24B9">
        <w:rPr>
          <w:rFonts w:eastAsia="Calibri"/>
        </w:rPr>
        <w:t>,</w:t>
      </w:r>
    </w:p>
    <w:p w:rsidR="00424385" w:rsidRPr="007D24B9" w:rsidRDefault="00424385" w:rsidP="00DF5DB0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B. </w:t>
      </w:r>
      <w:r w:rsidRPr="007D24B9">
        <w:rPr>
          <w:rFonts w:eastAsia="Calibri"/>
        </w:rPr>
        <w:tab/>
      </w:r>
      <w:r w:rsidR="00DF5DB0" w:rsidRPr="00DF5DB0">
        <w:rPr>
          <w:rFonts w:eastAsia="Calibri"/>
        </w:rPr>
        <w:t>jest karalne tylko wtedy, gdy ustawa tak stanow</w:t>
      </w:r>
      <w:r w:rsidR="00DF5DB0">
        <w:rPr>
          <w:rFonts w:eastAsia="Calibri"/>
        </w:rPr>
        <w:t>i</w:t>
      </w:r>
      <w:r w:rsidRPr="007D24B9">
        <w:rPr>
          <w:rFonts w:eastAsia="Calibri"/>
        </w:rPr>
        <w:t xml:space="preserve">.  </w:t>
      </w: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22</w:t>
      </w:r>
      <w:r w:rsidRPr="007D24B9">
        <w:rPr>
          <w:rFonts w:eastAsia="Calibri"/>
          <w:b/>
        </w:rPr>
        <w:t>.</w:t>
      </w:r>
      <w:r w:rsidRPr="007D24B9">
        <w:rPr>
          <w:rFonts w:eastAsia="Calibri"/>
          <w:b/>
        </w:rPr>
        <w:tab/>
        <w:t xml:space="preserve">Zgodnie z Kodeksem karnym, </w:t>
      </w:r>
      <w:r w:rsidR="00A011EE" w:rsidRPr="00A011EE">
        <w:rPr>
          <w:rFonts w:eastAsia="Calibri"/>
          <w:b/>
        </w:rPr>
        <w:t>kto przekracza granice obrony koniecznej pod wpływem strachu lub wzburzenia usprawiedliwionych okolicznościami zamachu</w:t>
      </w:r>
      <w:r w:rsidRPr="007D24B9">
        <w:rPr>
          <w:rFonts w:eastAsia="Calibri"/>
          <w:b/>
        </w:rPr>
        <w:t>: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A. </w:t>
      </w:r>
      <w:r w:rsidRPr="007D24B9">
        <w:rPr>
          <w:rFonts w:eastAsia="Calibri"/>
        </w:rPr>
        <w:tab/>
      </w:r>
      <w:r w:rsidR="0048480B">
        <w:rPr>
          <w:rFonts w:eastAsia="Calibri"/>
        </w:rPr>
        <w:t>nie popełnia przestępstwa</w:t>
      </w:r>
      <w:r w:rsidRPr="007D24B9">
        <w:rPr>
          <w:rFonts w:eastAsia="Calibri"/>
        </w:rPr>
        <w:t xml:space="preserve">, </w:t>
      </w:r>
    </w:p>
    <w:p w:rsidR="00424385" w:rsidRPr="007D24B9" w:rsidRDefault="00424385" w:rsidP="0048480B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B. </w:t>
      </w:r>
      <w:r w:rsidRPr="007D24B9">
        <w:rPr>
          <w:rFonts w:eastAsia="Calibri"/>
        </w:rPr>
        <w:tab/>
      </w:r>
      <w:r w:rsidR="0048480B">
        <w:rPr>
          <w:rFonts w:ascii="Verdana" w:hAnsi="Verdana"/>
          <w:color w:val="000000"/>
          <w:sz w:val="20"/>
          <w:szCs w:val="20"/>
        </w:rPr>
        <w:t>n</w:t>
      </w:r>
      <w:r w:rsidR="0048480B">
        <w:rPr>
          <w:rFonts w:ascii="Verdana" w:hAnsi="Verdana"/>
          <w:color w:val="000000"/>
          <w:sz w:val="20"/>
          <w:szCs w:val="20"/>
        </w:rPr>
        <w:t>ie podlega karze</w:t>
      </w:r>
      <w:r w:rsidRPr="007D24B9">
        <w:rPr>
          <w:rFonts w:eastAsia="Calibri"/>
        </w:rPr>
        <w:t xml:space="preserve">, </w:t>
      </w: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23</w:t>
      </w:r>
      <w:r w:rsidRPr="007D24B9">
        <w:rPr>
          <w:rFonts w:eastAsia="Calibri"/>
          <w:b/>
        </w:rPr>
        <w:t>.</w:t>
      </w:r>
      <w:r w:rsidRPr="007D24B9">
        <w:rPr>
          <w:rFonts w:eastAsia="Calibri"/>
          <w:b/>
        </w:rPr>
        <w:tab/>
        <w:t>Zgodnie z Kodeksem karnym, jeżeli w czasie orzekania obowiązuje inna ustawa aniżeli w czasie popełnienia przestępstwa: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A. </w:t>
      </w:r>
      <w:r w:rsidRPr="007D24B9">
        <w:rPr>
          <w:rFonts w:eastAsia="Calibri"/>
        </w:rPr>
        <w:tab/>
        <w:t xml:space="preserve">stosuje się zawsze ustawę nową, 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B. </w:t>
      </w:r>
      <w:r w:rsidRPr="007D24B9">
        <w:rPr>
          <w:rFonts w:eastAsia="Calibri"/>
        </w:rPr>
        <w:tab/>
        <w:t>stosuje się ustawę nową, ale należy stosować ustawę poprzednio obowiązującą, jeżeli jest ona względniejsza dla sprawcy,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lastRenderedPageBreak/>
        <w:t>24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karnym, </w:t>
      </w:r>
      <w:r w:rsidR="003C3CB9">
        <w:rPr>
          <w:rFonts w:eastAsia="Calibri"/>
          <w:b/>
        </w:rPr>
        <w:t>k</w:t>
      </w:r>
      <w:r w:rsidR="003C3CB9" w:rsidRPr="003C3CB9">
        <w:rPr>
          <w:rFonts w:eastAsia="Calibri"/>
          <w:b/>
        </w:rPr>
        <w:t>ara pozbawienia wolności wymieniona w art. 32 pkt 3</w:t>
      </w:r>
      <w:r w:rsidRPr="007D24B9">
        <w:rPr>
          <w:rFonts w:eastAsia="Calibri"/>
          <w:b/>
        </w:rPr>
        <w:t>: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A. </w:t>
      </w:r>
      <w:r w:rsidRPr="007D24B9">
        <w:rPr>
          <w:rFonts w:eastAsia="Calibri"/>
        </w:rPr>
        <w:tab/>
      </w:r>
      <w:r w:rsidR="003C3CB9">
        <w:rPr>
          <w:rFonts w:ascii="Verdana" w:hAnsi="Verdana"/>
          <w:color w:val="000000"/>
          <w:sz w:val="20"/>
          <w:szCs w:val="20"/>
        </w:rPr>
        <w:t xml:space="preserve">trwa najkrócej miesiąc, najdłużej </w:t>
      </w:r>
      <w:r w:rsidR="003C3CB9">
        <w:rPr>
          <w:rFonts w:ascii="Verdana" w:hAnsi="Verdana"/>
          <w:color w:val="000000"/>
          <w:sz w:val="20"/>
          <w:szCs w:val="20"/>
        </w:rPr>
        <w:t>25</w:t>
      </w:r>
      <w:r w:rsidR="003C3CB9">
        <w:rPr>
          <w:rFonts w:ascii="Verdana" w:hAnsi="Verdana"/>
          <w:color w:val="000000"/>
          <w:sz w:val="20"/>
          <w:szCs w:val="20"/>
        </w:rPr>
        <w:t xml:space="preserve"> lat</w:t>
      </w:r>
      <w:r w:rsidRPr="007D24B9">
        <w:rPr>
          <w:rFonts w:eastAsia="Calibri"/>
        </w:rPr>
        <w:t xml:space="preserve">, 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B.  </w:t>
      </w:r>
      <w:r w:rsidRPr="007D24B9">
        <w:rPr>
          <w:rFonts w:eastAsia="Calibri"/>
        </w:rPr>
        <w:tab/>
      </w:r>
      <w:r w:rsidR="003C3CB9">
        <w:rPr>
          <w:rFonts w:ascii="Verdana" w:hAnsi="Verdana"/>
          <w:color w:val="000000"/>
          <w:sz w:val="20"/>
          <w:szCs w:val="20"/>
        </w:rPr>
        <w:t>trwa najkrócej miesiąc, najdłużej 15 lat</w:t>
      </w:r>
      <w:r w:rsidRPr="007D24B9">
        <w:rPr>
          <w:rFonts w:eastAsia="Calibri"/>
        </w:rPr>
        <w:t xml:space="preserve">, </w:t>
      </w: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25</w:t>
      </w:r>
      <w:r w:rsidRPr="007D24B9">
        <w:rPr>
          <w:rFonts w:eastAsia="Calibri"/>
          <w:b/>
        </w:rPr>
        <w:t>.</w:t>
      </w:r>
      <w:r w:rsidRPr="007D24B9">
        <w:rPr>
          <w:rFonts w:eastAsia="Calibri"/>
          <w:b/>
        </w:rPr>
        <w:tab/>
        <w:t>Jeżeli sąd zdecydował, że nieletni będzie odpowiadał na zasadach określonych w Kodeksie karnym, wymierzona mu kara nie może przekroczyć: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A. </w:t>
      </w:r>
      <w:r w:rsidRPr="007D24B9">
        <w:rPr>
          <w:rFonts w:eastAsia="Calibri"/>
        </w:rPr>
        <w:tab/>
        <w:t>2/3 górnej granicy zagrożenia ustawowego za przypisane sprawcy przestępstwo,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 xml:space="preserve">C. </w:t>
      </w:r>
      <w:r w:rsidRPr="007D24B9">
        <w:rPr>
          <w:rFonts w:eastAsia="Calibri"/>
        </w:rPr>
        <w:tab/>
        <w:t>3/4 górnej granicy zagrożenia ustawowego za przypisane sprawcy przestępstwo.</w:t>
      </w: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26</w:t>
      </w:r>
      <w:r w:rsidRPr="007D24B9">
        <w:rPr>
          <w:rFonts w:eastAsia="Calibri"/>
          <w:b/>
        </w:rPr>
        <w:t>.</w:t>
      </w:r>
      <w:r w:rsidRPr="007D24B9">
        <w:rPr>
          <w:rFonts w:eastAsia="Calibri"/>
          <w:b/>
        </w:rPr>
        <w:tab/>
        <w:t xml:space="preserve">Zgodnie z Kodeksem karnym, </w:t>
      </w:r>
      <w:r w:rsidR="00874B7D">
        <w:rPr>
          <w:rFonts w:eastAsia="Calibri"/>
          <w:b/>
        </w:rPr>
        <w:t>w razie warunkowego zawieszenia wykonania kary pozbawienia wolności wobec s</w:t>
      </w:r>
      <w:r w:rsidR="00874B7D" w:rsidRPr="00874B7D">
        <w:rPr>
          <w:rFonts w:eastAsia="Calibri"/>
          <w:b/>
        </w:rPr>
        <w:t>prawcy, który popełnił przestępstwo z użyciem przemocy na szkodę osoby wspólnie zamieszkującej</w:t>
      </w:r>
      <w:r w:rsidRPr="007D24B9">
        <w:rPr>
          <w:rFonts w:eastAsia="Calibri"/>
          <w:b/>
        </w:rPr>
        <w:t xml:space="preserve">: 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>A.</w:t>
      </w:r>
      <w:r w:rsidRPr="007D24B9">
        <w:rPr>
          <w:rFonts w:eastAsia="Calibri"/>
        </w:rPr>
        <w:tab/>
      </w:r>
      <w:r w:rsidR="00874B7D">
        <w:rPr>
          <w:rFonts w:eastAsia="Calibri"/>
        </w:rPr>
        <w:t>dozór jest fakultatywny</w:t>
      </w:r>
      <w:r w:rsidRPr="007D24B9">
        <w:rPr>
          <w:rFonts w:eastAsia="Calibri"/>
        </w:rPr>
        <w:t>,</w:t>
      </w:r>
    </w:p>
    <w:p w:rsidR="00424385" w:rsidRPr="007D24B9" w:rsidRDefault="00424385" w:rsidP="00424385">
      <w:pPr>
        <w:spacing w:line="360" w:lineRule="auto"/>
        <w:ind w:left="993" w:hanging="426"/>
        <w:jc w:val="both"/>
        <w:rPr>
          <w:rFonts w:eastAsia="Calibri"/>
        </w:rPr>
      </w:pPr>
      <w:r w:rsidRPr="007D24B9">
        <w:rPr>
          <w:rFonts w:eastAsia="Calibri"/>
        </w:rPr>
        <w:t>B.</w:t>
      </w:r>
      <w:r w:rsidRPr="007D24B9">
        <w:rPr>
          <w:rFonts w:eastAsia="Calibri"/>
        </w:rPr>
        <w:tab/>
      </w:r>
      <w:r w:rsidR="00874B7D">
        <w:rPr>
          <w:rFonts w:eastAsia="Calibri"/>
        </w:rPr>
        <w:t>dozór jest obligatoryjny</w:t>
      </w:r>
      <w:r w:rsidRPr="007D24B9">
        <w:rPr>
          <w:rFonts w:eastAsia="Calibri"/>
        </w:rPr>
        <w:t>,</w:t>
      </w: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27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9A5550">
        <w:rPr>
          <w:rFonts w:eastAsia="Calibri"/>
          <w:b/>
        </w:rPr>
        <w:t>o</w:t>
      </w:r>
      <w:r w:rsidR="009A5550" w:rsidRPr="009A5550">
        <w:rPr>
          <w:rFonts w:eastAsia="Calibri"/>
          <w:b/>
        </w:rPr>
        <w:t>skarżonego uważa się za niewinnego, dopóki</w:t>
      </w:r>
      <w:r w:rsidRPr="007D24B9">
        <w:rPr>
          <w:rFonts w:eastAsia="Calibri"/>
          <w:b/>
        </w:rPr>
        <w:t>:</w:t>
      </w:r>
    </w:p>
    <w:p w:rsidR="00424385" w:rsidRPr="007D24B9" w:rsidRDefault="009A46D0" w:rsidP="00424385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wina jego nie zostanie udowodniona i stwierdzona wyrokiem</w:t>
      </w:r>
      <w:r>
        <w:rPr>
          <w:rFonts w:ascii="Verdana" w:hAnsi="Verdana"/>
          <w:color w:val="000000"/>
          <w:sz w:val="20"/>
          <w:szCs w:val="20"/>
        </w:rPr>
        <w:t xml:space="preserve"> Sądu pierwszej instancji</w:t>
      </w:r>
      <w:r w:rsidR="00424385" w:rsidRPr="007D24B9">
        <w:rPr>
          <w:rFonts w:eastAsia="Calibri"/>
        </w:rPr>
        <w:t xml:space="preserve">, </w:t>
      </w:r>
    </w:p>
    <w:p w:rsidR="00424385" w:rsidRPr="007D24B9" w:rsidRDefault="009A46D0" w:rsidP="00424385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wina jego nie zostanie udowodniona i stwierdzona prawomocnym wyrokiem</w:t>
      </w:r>
      <w:r w:rsidR="00424385" w:rsidRPr="007D24B9">
        <w:rPr>
          <w:rFonts w:eastAsia="Calibri"/>
        </w:rPr>
        <w:t xml:space="preserve">. 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jc w:val="both"/>
        <w:rPr>
          <w:rFonts w:eastAsia="Calibri"/>
          <w:b/>
        </w:rPr>
      </w:pPr>
      <w:r>
        <w:rPr>
          <w:rFonts w:eastAsia="Calibri"/>
          <w:b/>
        </w:rPr>
        <w:t>28</w:t>
      </w:r>
      <w:r w:rsidRPr="007D24B9">
        <w:rPr>
          <w:rFonts w:eastAsia="Calibri"/>
          <w:b/>
        </w:rPr>
        <w:t xml:space="preserve">. </w:t>
      </w:r>
      <w:r>
        <w:rPr>
          <w:rFonts w:eastAsia="Calibri"/>
          <w:b/>
        </w:rPr>
        <w:t xml:space="preserve"> </w:t>
      </w:r>
      <w:r w:rsidRPr="007D24B9">
        <w:rPr>
          <w:rFonts w:eastAsia="Calibri"/>
          <w:b/>
        </w:rPr>
        <w:t xml:space="preserve">Zgodnie z Kodeksem postępowania karnego, </w:t>
      </w:r>
      <w:r w:rsidR="002C458F">
        <w:rPr>
          <w:rFonts w:eastAsia="Calibri"/>
          <w:b/>
        </w:rPr>
        <w:t>j</w:t>
      </w:r>
      <w:r w:rsidR="002C458F" w:rsidRPr="002C458F">
        <w:rPr>
          <w:rFonts w:eastAsia="Calibri"/>
          <w:b/>
        </w:rPr>
        <w:t>eżeli zachodzi długotrwała przeszkoda uniemożliwiająca prowadzenie postępowania, a w szczególności jeżeli nie można ująć oskarżonego albo nie może on brać udziału w postępowaniu z powodu choroby psychicznej lub innej ciężkiej choroby</w:t>
      </w:r>
      <w:r w:rsidRPr="007D24B9">
        <w:rPr>
          <w:rFonts w:eastAsia="Calibri"/>
          <w:b/>
        </w:rPr>
        <w:t>: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</w:rPr>
      </w:pPr>
    </w:p>
    <w:p w:rsidR="00424385" w:rsidRPr="007D24B9" w:rsidRDefault="002C458F" w:rsidP="00424385">
      <w:pPr>
        <w:numPr>
          <w:ilvl w:val="0"/>
          <w:numId w:val="9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postępowanie zawiesza się na czas trwania przeszkody</w:t>
      </w:r>
      <w:r w:rsidR="00424385" w:rsidRPr="007D24B9">
        <w:rPr>
          <w:rFonts w:eastAsia="Calibri"/>
        </w:rPr>
        <w:t>,</w:t>
      </w:r>
    </w:p>
    <w:p w:rsidR="00424385" w:rsidRPr="007D24B9" w:rsidRDefault="002C458F" w:rsidP="00424385">
      <w:pPr>
        <w:numPr>
          <w:ilvl w:val="0"/>
          <w:numId w:val="9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 xml:space="preserve">postępowanie </w:t>
      </w:r>
      <w:r>
        <w:rPr>
          <w:rFonts w:ascii="Verdana" w:hAnsi="Verdana"/>
          <w:color w:val="000000"/>
          <w:sz w:val="20"/>
          <w:szCs w:val="20"/>
        </w:rPr>
        <w:t>umarza się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  <w:b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29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91745A" w:rsidRPr="0091745A">
        <w:rPr>
          <w:rFonts w:eastAsia="Calibri"/>
          <w:b/>
        </w:rPr>
        <w:t>Sąd</w:t>
      </w:r>
      <w:r w:rsidRPr="007D24B9">
        <w:rPr>
          <w:rFonts w:eastAsia="Calibri"/>
          <w:b/>
        </w:rPr>
        <w:t>:</w:t>
      </w:r>
    </w:p>
    <w:p w:rsidR="00424385" w:rsidRPr="007D24B9" w:rsidRDefault="0091745A" w:rsidP="00424385">
      <w:pPr>
        <w:numPr>
          <w:ilvl w:val="0"/>
          <w:numId w:val="2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bada z urzędu swą właściwość</w:t>
      </w:r>
      <w:r w:rsidR="00424385" w:rsidRPr="007D24B9">
        <w:rPr>
          <w:rFonts w:eastAsia="Calibri"/>
        </w:rPr>
        <w:t xml:space="preserve">, </w:t>
      </w:r>
    </w:p>
    <w:p w:rsidR="00424385" w:rsidRPr="007D24B9" w:rsidRDefault="0091745A" w:rsidP="00424385">
      <w:pPr>
        <w:numPr>
          <w:ilvl w:val="0"/>
          <w:numId w:val="2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bada swą właściwość</w:t>
      </w:r>
      <w:r>
        <w:rPr>
          <w:rFonts w:ascii="Verdana" w:hAnsi="Verdana"/>
          <w:color w:val="000000"/>
          <w:sz w:val="20"/>
          <w:szCs w:val="20"/>
        </w:rPr>
        <w:t xml:space="preserve"> na wniosek prokuratora lub oskarżonego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  <w:lang w:val="de-DE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30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91745A" w:rsidRPr="0091745A">
        <w:rPr>
          <w:rFonts w:eastAsia="Calibri"/>
          <w:b/>
        </w:rPr>
        <w:t>Sąd Najwyższy może z inicjatywy właściwego sądu przekazać sprawę do rozpoznania innemu sądowi równorzędnemu</w:t>
      </w:r>
      <w:r w:rsidRPr="007D24B9">
        <w:rPr>
          <w:rFonts w:eastAsia="Calibri"/>
          <w:b/>
        </w:rPr>
        <w:t>:</w:t>
      </w:r>
    </w:p>
    <w:p w:rsidR="00424385" w:rsidRPr="007D24B9" w:rsidRDefault="004F0F22" w:rsidP="00424385">
      <w:pPr>
        <w:numPr>
          <w:ilvl w:val="0"/>
          <w:numId w:val="3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eastAsia="Calibri"/>
        </w:rPr>
        <w:t>jeżeli zachodzą uzasadnione wątpliwości co do bezstronności sędziów</w:t>
      </w:r>
      <w:r w:rsidR="00424385" w:rsidRPr="007D24B9">
        <w:rPr>
          <w:rFonts w:eastAsia="Calibri"/>
        </w:rPr>
        <w:t>,</w:t>
      </w:r>
    </w:p>
    <w:p w:rsidR="00424385" w:rsidRPr="007D24B9" w:rsidRDefault="004F0F22" w:rsidP="00424385">
      <w:pPr>
        <w:numPr>
          <w:ilvl w:val="0"/>
          <w:numId w:val="3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 jeżeli wymaga tego dobro wymiaru sprawiedliwości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  <w:lang w:val="de-DE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31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6E15C7">
        <w:rPr>
          <w:rFonts w:eastAsia="Calibri"/>
          <w:b/>
        </w:rPr>
        <w:t>o</w:t>
      </w:r>
      <w:r w:rsidR="006E15C7" w:rsidRPr="006E15C7">
        <w:rPr>
          <w:rFonts w:eastAsia="Calibri"/>
          <w:b/>
        </w:rPr>
        <w:t>skarżony</w:t>
      </w:r>
      <w:r w:rsidRPr="007D24B9">
        <w:rPr>
          <w:rFonts w:eastAsia="Calibri"/>
          <w:b/>
        </w:rPr>
        <w:t>:</w:t>
      </w:r>
    </w:p>
    <w:p w:rsidR="00424385" w:rsidRPr="007D24B9" w:rsidRDefault="006E15C7" w:rsidP="00424385">
      <w:pPr>
        <w:numPr>
          <w:ilvl w:val="0"/>
          <w:numId w:val="4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nie ma obowiązku dowodzenia swej niewinności ani obowiązku dostarczania dowodów na swoją niekorzyść</w:t>
      </w:r>
      <w:r w:rsidR="00424385" w:rsidRPr="007D24B9">
        <w:rPr>
          <w:rFonts w:eastAsia="Calibri"/>
        </w:rPr>
        <w:t>,</w:t>
      </w:r>
    </w:p>
    <w:p w:rsidR="00424385" w:rsidRPr="007D24B9" w:rsidRDefault="006E15C7" w:rsidP="00424385">
      <w:pPr>
        <w:numPr>
          <w:ilvl w:val="0"/>
          <w:numId w:val="4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 xml:space="preserve">nie ma obowiązku dowodzenia swej niewinności </w:t>
      </w:r>
      <w:r w:rsidR="00EA5A1A">
        <w:rPr>
          <w:rFonts w:ascii="Verdana" w:hAnsi="Verdana"/>
          <w:color w:val="000000"/>
          <w:sz w:val="20"/>
          <w:szCs w:val="20"/>
        </w:rPr>
        <w:t xml:space="preserve">ale ma </w:t>
      </w:r>
      <w:r>
        <w:rPr>
          <w:rFonts w:ascii="Verdana" w:hAnsi="Verdana"/>
          <w:color w:val="000000"/>
          <w:sz w:val="20"/>
          <w:szCs w:val="20"/>
        </w:rPr>
        <w:t xml:space="preserve"> obowiąz</w:t>
      </w:r>
      <w:r w:rsidR="00EA5A1A">
        <w:rPr>
          <w:rFonts w:ascii="Verdana" w:hAnsi="Verdana"/>
          <w:color w:val="000000"/>
          <w:sz w:val="20"/>
          <w:szCs w:val="20"/>
        </w:rPr>
        <w:t>ek</w:t>
      </w:r>
      <w:r>
        <w:rPr>
          <w:rFonts w:ascii="Verdana" w:hAnsi="Verdana"/>
          <w:color w:val="000000"/>
          <w:sz w:val="20"/>
          <w:szCs w:val="20"/>
        </w:rPr>
        <w:t xml:space="preserve"> dostarczania dowodów na swoją korzyść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  <w:lang w:val="de-DE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32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EA2A06">
        <w:rPr>
          <w:rFonts w:eastAsia="Calibri"/>
          <w:b/>
        </w:rPr>
        <w:t>o</w:t>
      </w:r>
      <w:r w:rsidR="00EA2A06" w:rsidRPr="00EA2A06">
        <w:rPr>
          <w:rFonts w:eastAsia="Calibri"/>
          <w:b/>
        </w:rPr>
        <w:t>skarżony w postępowaniu przed sądem okręgowym, jeżeli zarzucono mu zbrodnię.</w:t>
      </w:r>
      <w:r w:rsidRPr="007D24B9">
        <w:rPr>
          <w:rFonts w:eastAsia="Calibri"/>
          <w:b/>
        </w:rPr>
        <w:t>:</w:t>
      </w:r>
    </w:p>
    <w:p w:rsidR="00424385" w:rsidRPr="007D24B9" w:rsidRDefault="0095252C" w:rsidP="00424385">
      <w:pPr>
        <w:numPr>
          <w:ilvl w:val="0"/>
          <w:numId w:val="5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 w:rsidRPr="0095252C">
        <w:rPr>
          <w:rFonts w:eastAsia="Calibri"/>
        </w:rPr>
        <w:t>musi mieć obrońcę</w:t>
      </w:r>
      <w:r>
        <w:rPr>
          <w:rFonts w:eastAsia="Calibri"/>
        </w:rPr>
        <w:t>, jeżeli zachodzą wątpliwości, co do jego poczytalności</w:t>
      </w:r>
      <w:r w:rsidR="00424385" w:rsidRPr="007D24B9">
        <w:rPr>
          <w:rFonts w:eastAsia="Calibri"/>
        </w:rPr>
        <w:t>,</w:t>
      </w:r>
    </w:p>
    <w:p w:rsidR="00424385" w:rsidRDefault="0095252C" w:rsidP="00424385">
      <w:pPr>
        <w:numPr>
          <w:ilvl w:val="0"/>
          <w:numId w:val="5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 w:rsidRPr="0095252C">
        <w:rPr>
          <w:rFonts w:eastAsia="Calibri"/>
        </w:rPr>
        <w:t>musi mieć obrońcę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after="200" w:line="360" w:lineRule="auto"/>
        <w:ind w:left="993"/>
        <w:contextualSpacing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33.  </w:t>
      </w:r>
      <w:r w:rsidRPr="007D24B9">
        <w:rPr>
          <w:rFonts w:eastAsia="Calibri"/>
          <w:b/>
        </w:rPr>
        <w:t xml:space="preserve">Zgodnie z Kodeksem postępowania karnego, </w:t>
      </w:r>
      <w:r w:rsidR="00F14E20">
        <w:rPr>
          <w:rFonts w:eastAsia="Calibri"/>
          <w:b/>
        </w:rPr>
        <w:t>z</w:t>
      </w:r>
      <w:r w:rsidR="00F14E20" w:rsidRPr="00F14E20">
        <w:rPr>
          <w:rFonts w:eastAsia="Calibri"/>
          <w:b/>
        </w:rPr>
        <w:t>arządzenie wymaga pisemnego uzasadnienia</w:t>
      </w:r>
      <w:r w:rsidRPr="007D24B9">
        <w:rPr>
          <w:rFonts w:eastAsia="Calibri"/>
          <w:b/>
        </w:rPr>
        <w:t>:</w:t>
      </w:r>
    </w:p>
    <w:p w:rsidR="00424385" w:rsidRPr="007D24B9" w:rsidRDefault="00F14E20" w:rsidP="00424385">
      <w:pPr>
        <w:numPr>
          <w:ilvl w:val="0"/>
          <w:numId w:val="8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eastAsia="Calibri"/>
        </w:rPr>
        <w:t>jeżeli nakłada na stronę postępowania obowiązki</w:t>
      </w:r>
      <w:r w:rsidR="00424385" w:rsidRPr="007D24B9">
        <w:rPr>
          <w:rFonts w:eastAsia="Calibri"/>
        </w:rPr>
        <w:t>,</w:t>
      </w:r>
    </w:p>
    <w:p w:rsidR="00424385" w:rsidRPr="007D24B9" w:rsidRDefault="00F14E20" w:rsidP="00424385">
      <w:pPr>
        <w:numPr>
          <w:ilvl w:val="0"/>
          <w:numId w:val="8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jeżeli podlega zaskarżeniu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34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E0680C" w:rsidRPr="00E0680C">
        <w:rPr>
          <w:rFonts w:eastAsia="Calibri"/>
          <w:b/>
        </w:rPr>
        <w:t>Sąd może wznowić przewód sądowy</w:t>
      </w:r>
      <w:r w:rsidRPr="007D24B9">
        <w:rPr>
          <w:rFonts w:eastAsia="Calibri"/>
          <w:b/>
        </w:rPr>
        <w:t>:</w:t>
      </w:r>
    </w:p>
    <w:p w:rsidR="00424385" w:rsidRPr="007D24B9" w:rsidRDefault="00E0680C" w:rsidP="00424385">
      <w:pPr>
        <w:numPr>
          <w:ilvl w:val="0"/>
          <w:numId w:val="6"/>
        </w:numPr>
        <w:spacing w:after="200" w:line="360" w:lineRule="auto"/>
        <w:contextualSpacing/>
        <w:jc w:val="both"/>
        <w:rPr>
          <w:rFonts w:eastAsia="Calibri"/>
        </w:rPr>
      </w:pPr>
      <w:r w:rsidRPr="00E0680C">
        <w:rPr>
          <w:rFonts w:eastAsia="Calibri"/>
        </w:rPr>
        <w:t>aż do ogłoszenia wyroku</w:t>
      </w:r>
      <w:r w:rsidR="00424385" w:rsidRPr="007D24B9">
        <w:rPr>
          <w:rFonts w:eastAsia="Calibri"/>
        </w:rPr>
        <w:t>,</w:t>
      </w:r>
    </w:p>
    <w:p w:rsidR="00424385" w:rsidRPr="007D24B9" w:rsidRDefault="00E0680C" w:rsidP="00424385">
      <w:pPr>
        <w:numPr>
          <w:ilvl w:val="0"/>
          <w:numId w:val="6"/>
        </w:numPr>
        <w:spacing w:after="200" w:line="360" w:lineRule="auto"/>
        <w:contextualSpacing/>
        <w:jc w:val="both"/>
        <w:rPr>
          <w:rFonts w:eastAsia="Calibri"/>
        </w:rPr>
      </w:pPr>
      <w:r w:rsidRPr="00E0680C">
        <w:rPr>
          <w:rFonts w:eastAsia="Calibri"/>
        </w:rPr>
        <w:t xml:space="preserve">aż do </w:t>
      </w:r>
      <w:r>
        <w:rPr>
          <w:rFonts w:eastAsia="Calibri"/>
        </w:rPr>
        <w:t xml:space="preserve">uprawomocnienia się </w:t>
      </w:r>
      <w:r w:rsidRPr="00E0680C">
        <w:rPr>
          <w:rFonts w:eastAsia="Calibri"/>
        </w:rPr>
        <w:t xml:space="preserve"> wyroku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  <w:lang w:val="de-DE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t>35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E0680C">
        <w:rPr>
          <w:rFonts w:eastAsia="Calibri"/>
          <w:b/>
        </w:rPr>
        <w:t>niestawiennictwo oskarżonego</w:t>
      </w:r>
      <w:r w:rsidRPr="007D24B9">
        <w:rPr>
          <w:rFonts w:eastAsia="Calibri"/>
          <w:b/>
        </w:rPr>
        <w:t>:</w:t>
      </w:r>
    </w:p>
    <w:p w:rsidR="00424385" w:rsidRPr="007D24B9" w:rsidRDefault="00DA4A11" w:rsidP="00424385">
      <w:pPr>
        <w:numPr>
          <w:ilvl w:val="0"/>
          <w:numId w:val="7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>
        <w:rPr>
          <w:rFonts w:eastAsia="Calibri"/>
        </w:rPr>
        <w:t>uniemożliwia ogłoszenie wyroku</w:t>
      </w:r>
      <w:r w:rsidR="00424385" w:rsidRPr="007D24B9">
        <w:rPr>
          <w:rFonts w:eastAsia="Calibri"/>
        </w:rPr>
        <w:t>,</w:t>
      </w:r>
    </w:p>
    <w:p w:rsidR="00424385" w:rsidRPr="007D24B9" w:rsidRDefault="00DA4A11" w:rsidP="00424385">
      <w:pPr>
        <w:numPr>
          <w:ilvl w:val="0"/>
          <w:numId w:val="7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>
        <w:rPr>
          <w:rFonts w:ascii="Verdana" w:hAnsi="Verdana"/>
          <w:color w:val="000000"/>
          <w:sz w:val="20"/>
          <w:szCs w:val="20"/>
        </w:rPr>
        <w:t>nie stoi na przeszkodzie ogłoszeniu wyroku</w:t>
      </w:r>
      <w:r w:rsidR="00424385" w:rsidRPr="007D24B9">
        <w:rPr>
          <w:rFonts w:eastAsia="Calibri"/>
        </w:rPr>
        <w:t>.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  <w:lang w:val="de-DE"/>
        </w:rPr>
      </w:pPr>
    </w:p>
    <w:p w:rsidR="00424385" w:rsidRPr="007D24B9" w:rsidRDefault="00424385" w:rsidP="00424385">
      <w:pPr>
        <w:spacing w:line="360" w:lineRule="auto"/>
        <w:ind w:left="567" w:hanging="567"/>
        <w:jc w:val="both"/>
        <w:rPr>
          <w:rFonts w:eastAsia="Calibri"/>
          <w:b/>
        </w:rPr>
      </w:pPr>
      <w:r>
        <w:rPr>
          <w:rFonts w:eastAsia="Calibri"/>
          <w:b/>
        </w:rPr>
        <w:lastRenderedPageBreak/>
        <w:t>36</w:t>
      </w:r>
      <w:r w:rsidRPr="007D24B9">
        <w:rPr>
          <w:rFonts w:eastAsia="Calibri"/>
          <w:b/>
        </w:rPr>
        <w:t xml:space="preserve">. </w:t>
      </w:r>
      <w:r w:rsidRPr="007D24B9">
        <w:rPr>
          <w:rFonts w:eastAsia="Calibri"/>
          <w:b/>
        </w:rPr>
        <w:tab/>
        <w:t xml:space="preserve">Zgodnie z Kodeksem postępowania karnego, </w:t>
      </w:r>
      <w:r w:rsidR="00DA4A11">
        <w:rPr>
          <w:rFonts w:eastAsia="Calibri"/>
          <w:b/>
        </w:rPr>
        <w:t>zakres pisemnego uzasadnienia wyroku</w:t>
      </w:r>
      <w:r w:rsidRPr="007D24B9">
        <w:rPr>
          <w:rFonts w:eastAsia="Calibri"/>
          <w:b/>
        </w:rPr>
        <w:t>:</w:t>
      </w:r>
    </w:p>
    <w:p w:rsidR="00424385" w:rsidRPr="007D24B9" w:rsidRDefault="00E06EC7" w:rsidP="00424385">
      <w:pPr>
        <w:numPr>
          <w:ilvl w:val="0"/>
          <w:numId w:val="10"/>
        </w:numPr>
        <w:spacing w:after="200" w:line="360" w:lineRule="auto"/>
        <w:contextualSpacing/>
        <w:jc w:val="both"/>
        <w:rPr>
          <w:rFonts w:eastAsia="Calibri"/>
        </w:rPr>
      </w:pPr>
      <w:r>
        <w:rPr>
          <w:rFonts w:eastAsia="Calibri"/>
        </w:rPr>
        <w:t>może  być ograniczony, w przypadkach wskazanych w ustawie</w:t>
      </w:r>
      <w:r w:rsidR="00424385" w:rsidRPr="007D24B9">
        <w:rPr>
          <w:rFonts w:eastAsia="Calibri"/>
        </w:rPr>
        <w:t>,</w:t>
      </w:r>
    </w:p>
    <w:p w:rsidR="00424385" w:rsidRPr="007D24B9" w:rsidRDefault="00E06EC7" w:rsidP="00424385">
      <w:pPr>
        <w:numPr>
          <w:ilvl w:val="0"/>
          <w:numId w:val="10"/>
        </w:numPr>
        <w:spacing w:after="200" w:line="360" w:lineRule="auto"/>
        <w:ind w:left="993" w:hanging="426"/>
        <w:contextualSpacing/>
        <w:jc w:val="both"/>
        <w:rPr>
          <w:rFonts w:eastAsia="Calibri"/>
        </w:rPr>
      </w:pPr>
      <w:r>
        <w:rPr>
          <w:rFonts w:eastAsia="Calibri"/>
        </w:rPr>
        <w:t xml:space="preserve">nie </w:t>
      </w:r>
      <w:r w:rsidRPr="00E06EC7">
        <w:rPr>
          <w:rFonts w:eastAsia="Calibri"/>
        </w:rPr>
        <w:t>może  być ograniczony</w:t>
      </w:r>
      <w:r w:rsidR="00424385" w:rsidRPr="007D24B9">
        <w:rPr>
          <w:rFonts w:eastAsia="Calibri"/>
        </w:rPr>
        <w:t xml:space="preserve">. </w:t>
      </w:r>
    </w:p>
    <w:p w:rsidR="00424385" w:rsidRPr="007D24B9" w:rsidRDefault="00424385" w:rsidP="00424385">
      <w:pPr>
        <w:spacing w:line="360" w:lineRule="auto"/>
        <w:jc w:val="both"/>
        <w:rPr>
          <w:rFonts w:eastAsia="Calibri"/>
          <w:lang w:val="de-DE"/>
        </w:rPr>
      </w:pP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KONKURS NA STANOWISKO ASYSTENTA SĘDZIEGO</w:t>
      </w: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W SĄDZIE REJONOWYM W NAKLE NAD NOTECIĄ</w:t>
      </w:r>
    </w:p>
    <w:p w:rsidR="00424385" w:rsidRDefault="00832702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12 sierpnia 2019</w:t>
      </w:r>
      <w:r w:rsidR="00424385" w:rsidRPr="00E02593">
        <w:rPr>
          <w:rFonts w:ascii="Times New Roman" w:hAnsi="Times New Roman"/>
          <w:b/>
          <w:bCs/>
          <w:sz w:val="28"/>
          <w:szCs w:val="28"/>
        </w:rPr>
        <w:t xml:space="preserve"> r.</w:t>
      </w: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PRACA PISEMNA</w:t>
      </w:r>
    </w:p>
    <w:p w:rsidR="00424385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385" w:rsidRPr="00E02593" w:rsidRDefault="00424385" w:rsidP="00424385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24385" w:rsidRPr="00E02593" w:rsidRDefault="00424385" w:rsidP="00424385">
      <w:pPr>
        <w:pStyle w:val="Normalny1"/>
        <w:numPr>
          <w:ilvl w:val="3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hanging="288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Prawo </w:t>
      </w:r>
      <w:r w:rsidRPr="00E02593">
        <w:rPr>
          <w:rFonts w:ascii="Times New Roman" w:hAnsi="Times New Roman"/>
          <w:b/>
          <w:bCs/>
          <w:sz w:val="24"/>
          <w:szCs w:val="24"/>
        </w:rPr>
        <w:t>cywilne</w:t>
      </w:r>
    </w:p>
    <w:p w:rsidR="00BB78D9" w:rsidRPr="00BB78D9" w:rsidRDefault="00BB78D9" w:rsidP="00BB78D9">
      <w:pPr>
        <w:pStyle w:val="Domylne"/>
        <w:ind w:firstLine="708"/>
        <w:jc w:val="both"/>
        <w:rPr>
          <w:rFonts w:ascii="Times New Roman" w:hAnsi="Times New Roman"/>
          <w:sz w:val="24"/>
          <w:szCs w:val="24"/>
        </w:rPr>
      </w:pPr>
      <w:r w:rsidRPr="00BB78D9">
        <w:rPr>
          <w:rFonts w:ascii="Times New Roman" w:hAnsi="Times New Roman"/>
          <w:sz w:val="24"/>
          <w:szCs w:val="24"/>
        </w:rPr>
        <w:t xml:space="preserve">Powód A . wniósł do Sądu Rejonowego w Nakle nad Notecią o zapłatę od pozwanego B kwoty 3.000,00 złotych. </w:t>
      </w:r>
    </w:p>
    <w:p w:rsidR="00BB78D9" w:rsidRPr="00BB78D9" w:rsidRDefault="00BB78D9" w:rsidP="00BB78D9">
      <w:pPr>
        <w:pStyle w:val="Domylne"/>
        <w:ind w:firstLine="708"/>
        <w:jc w:val="both"/>
        <w:rPr>
          <w:rFonts w:ascii="Times New Roman" w:hAnsi="Times New Roman"/>
          <w:sz w:val="24"/>
          <w:szCs w:val="24"/>
        </w:rPr>
      </w:pPr>
      <w:r w:rsidRPr="00BB78D9">
        <w:rPr>
          <w:rFonts w:ascii="Times New Roman" w:hAnsi="Times New Roman"/>
          <w:sz w:val="24"/>
          <w:szCs w:val="24"/>
        </w:rPr>
        <w:t xml:space="preserve">Wyrokiem z dnia 08 lipca 2019 roku Sąd zasądził kwotę 2.000,00 złotych, nie oddalając powództwa w żadnej części. </w:t>
      </w:r>
    </w:p>
    <w:p w:rsidR="00BB78D9" w:rsidRPr="00BB78D9" w:rsidRDefault="00BB78D9" w:rsidP="00BB78D9">
      <w:pPr>
        <w:pStyle w:val="Domylne"/>
        <w:ind w:firstLine="708"/>
        <w:jc w:val="both"/>
        <w:rPr>
          <w:rFonts w:ascii="Times New Roman" w:hAnsi="Times New Roman"/>
          <w:sz w:val="24"/>
          <w:szCs w:val="24"/>
        </w:rPr>
      </w:pPr>
      <w:r w:rsidRPr="00BB78D9">
        <w:rPr>
          <w:rFonts w:ascii="Times New Roman" w:hAnsi="Times New Roman"/>
          <w:sz w:val="24"/>
          <w:szCs w:val="24"/>
        </w:rPr>
        <w:t xml:space="preserve">Pismem z dnia 07 sierpnia 2019 roku pełnomocnik powoda wniósł o sprostowanie wyroku, poprzez zasądzenie całej dochodzonej kwoty, czyli 3.000,00 złotych. Argumentował, że skoro powód dochodził tej właśnie kwoty, a Sąd powództwa w żadnej części nie oddalił,    to doszło do oczywistej omyłki pisarskiej przy wpisywaniu kwoty. </w:t>
      </w:r>
    </w:p>
    <w:p w:rsidR="00BB78D9" w:rsidRPr="00BB78D9" w:rsidRDefault="00BB78D9" w:rsidP="00BB78D9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:rsidR="00424385" w:rsidRDefault="00BB78D9" w:rsidP="00BB78D9">
      <w:pPr>
        <w:pStyle w:val="Domylne"/>
        <w:ind w:firstLine="708"/>
        <w:jc w:val="both"/>
        <w:rPr>
          <w:rFonts w:ascii="Times New Roman" w:hAnsi="Times New Roman"/>
          <w:sz w:val="24"/>
          <w:szCs w:val="24"/>
        </w:rPr>
      </w:pPr>
      <w:r w:rsidRPr="00BB78D9">
        <w:rPr>
          <w:rFonts w:ascii="Times New Roman" w:hAnsi="Times New Roman"/>
          <w:sz w:val="24"/>
          <w:szCs w:val="24"/>
        </w:rPr>
        <w:t>Sporządź projekt orzeczenia sądu.</w:t>
      </w:r>
    </w:p>
    <w:p w:rsidR="00BB78D9" w:rsidRDefault="00BB78D9" w:rsidP="00BB78D9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:rsidR="00BB78D9" w:rsidRDefault="00BB78D9" w:rsidP="00BB78D9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:rsidR="00BB78D9" w:rsidRDefault="00BB78D9" w:rsidP="00BB78D9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:rsidR="00BB78D9" w:rsidRDefault="00BB78D9" w:rsidP="00BB78D9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:rsidR="00424385" w:rsidRDefault="00424385" w:rsidP="00424385">
      <w:pPr>
        <w:pStyle w:val="Domylne"/>
        <w:numPr>
          <w:ilvl w:val="3"/>
          <w:numId w:val="7"/>
        </w:numPr>
        <w:ind w:hanging="2880"/>
        <w:jc w:val="both"/>
        <w:rPr>
          <w:rFonts w:ascii="Times New Roman" w:hAnsi="Times New Roman"/>
          <w:b/>
          <w:sz w:val="24"/>
          <w:szCs w:val="24"/>
        </w:rPr>
      </w:pPr>
      <w:r w:rsidRPr="00FD3F71">
        <w:rPr>
          <w:rFonts w:ascii="Times New Roman" w:hAnsi="Times New Roman"/>
          <w:b/>
          <w:sz w:val="24"/>
          <w:szCs w:val="24"/>
        </w:rPr>
        <w:t>Prawo karne</w:t>
      </w:r>
    </w:p>
    <w:p w:rsidR="00424385" w:rsidRDefault="00424385" w:rsidP="00424385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:rsidR="00DC3B07" w:rsidRDefault="003B31FD" w:rsidP="00DC3B07">
      <w:pPr>
        <w:pStyle w:val="Domyln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Sąd Rejonowy w N. ustanowił dla o</w:t>
      </w:r>
      <w:r w:rsidR="00424385" w:rsidRPr="00A50363">
        <w:rPr>
          <w:rFonts w:ascii="Times New Roman" w:hAnsi="Times New Roman"/>
          <w:sz w:val="24"/>
          <w:szCs w:val="24"/>
        </w:rPr>
        <w:t>skarżon</w:t>
      </w:r>
      <w:r>
        <w:rPr>
          <w:rFonts w:ascii="Times New Roman" w:hAnsi="Times New Roman"/>
          <w:sz w:val="24"/>
          <w:szCs w:val="24"/>
        </w:rPr>
        <w:t>ego</w:t>
      </w:r>
      <w:r w:rsidR="00424385" w:rsidRPr="00A503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Jarosław K. obrońcę z urzędu, wobec </w:t>
      </w:r>
      <w:r w:rsidRPr="003B31FD">
        <w:rPr>
          <w:rFonts w:ascii="Times New Roman" w:hAnsi="Times New Roman"/>
          <w:sz w:val="24"/>
          <w:szCs w:val="24"/>
        </w:rPr>
        <w:t>uzasadnion</w:t>
      </w:r>
      <w:r>
        <w:rPr>
          <w:rFonts w:ascii="Times New Roman" w:hAnsi="Times New Roman"/>
          <w:sz w:val="24"/>
          <w:szCs w:val="24"/>
        </w:rPr>
        <w:t>ej</w:t>
      </w:r>
      <w:r w:rsidRPr="003B31FD">
        <w:rPr>
          <w:rFonts w:ascii="Times New Roman" w:hAnsi="Times New Roman"/>
          <w:sz w:val="24"/>
          <w:szCs w:val="24"/>
        </w:rPr>
        <w:t xml:space="preserve"> wątpliwość, czy jego zdolność rozpoznania znaczenia czynu lub kierowania swoim postępowaniem nie była w czasie popełnienia tego czynu wyłączona lub w znacznym stopniu ograniczona</w:t>
      </w:r>
      <w:r w:rsidR="00996347">
        <w:rPr>
          <w:rFonts w:ascii="Times New Roman" w:hAnsi="Times New Roman"/>
          <w:sz w:val="24"/>
          <w:szCs w:val="24"/>
        </w:rPr>
        <w:t xml:space="preserve">. </w:t>
      </w:r>
    </w:p>
    <w:p w:rsidR="00424385" w:rsidRPr="00A50363" w:rsidRDefault="00996347" w:rsidP="00DC3B07">
      <w:pPr>
        <w:pStyle w:val="Domylne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Wyznaczony obrońca złożył wniosek </w:t>
      </w:r>
      <w:r w:rsidR="009A0C46">
        <w:rPr>
          <w:rFonts w:ascii="Times New Roman" w:hAnsi="Times New Roman"/>
          <w:sz w:val="24"/>
          <w:szCs w:val="24"/>
        </w:rPr>
        <w:t xml:space="preserve">o zwolnienie go z funkcji obrońcy Jarosława K., argumentując, iż jest pełnomocnikiem </w:t>
      </w:r>
      <w:r w:rsidR="00F616B8">
        <w:rPr>
          <w:rFonts w:ascii="Times New Roman" w:hAnsi="Times New Roman"/>
          <w:sz w:val="24"/>
          <w:szCs w:val="24"/>
        </w:rPr>
        <w:t>pokrzywdzonego w tej sprawie Roberta Z.</w:t>
      </w:r>
      <w:r w:rsidR="00424385">
        <w:rPr>
          <w:rFonts w:ascii="Times New Roman" w:hAnsi="Times New Roman"/>
          <w:sz w:val="24"/>
          <w:szCs w:val="24"/>
        </w:rPr>
        <w:t xml:space="preserve"> </w:t>
      </w:r>
    </w:p>
    <w:p w:rsidR="001C1957" w:rsidRDefault="001C1957"/>
    <w:p w:rsidR="00DC3B07" w:rsidRDefault="00DC3B07" w:rsidP="00DC3B07">
      <w:pPr>
        <w:pStyle w:val="Domylne"/>
        <w:ind w:firstLine="708"/>
        <w:jc w:val="both"/>
        <w:rPr>
          <w:rFonts w:ascii="Times New Roman" w:hAnsi="Times New Roman"/>
          <w:sz w:val="24"/>
          <w:szCs w:val="24"/>
        </w:rPr>
      </w:pPr>
      <w:r w:rsidRPr="00BB78D9">
        <w:rPr>
          <w:rFonts w:ascii="Times New Roman" w:hAnsi="Times New Roman"/>
          <w:sz w:val="24"/>
          <w:szCs w:val="24"/>
        </w:rPr>
        <w:t>Sporządź projekt orzeczenia sądu.</w:t>
      </w:r>
    </w:p>
    <w:p w:rsidR="00DC3B07" w:rsidRDefault="00DC3B07"/>
    <w:sectPr w:rsidR="00DC3B07">
      <w:footerReference w:type="default" r:id="rId5"/>
      <w:pgSz w:w="11906" w:h="16838"/>
      <w:pgMar w:top="1134" w:right="1134" w:bottom="1134" w:left="1134" w:header="709" w:footer="85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DBC" w:rsidRDefault="00ED70D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Pr="00BB5094">
      <w:rPr>
        <w:noProof/>
        <w:lang w:val="pl-PL"/>
      </w:rPr>
      <w:t>9</w:t>
    </w:r>
    <w:r>
      <w:fldChar w:fldCharType="end"/>
    </w:r>
  </w:p>
  <w:p w:rsidR="00E02593" w:rsidRDefault="00ED70D6">
    <w:pPr>
      <w:rPr>
        <w:rFonts w:eastAsia="Arial Unicode MS"/>
        <w:sz w:val="20"/>
        <w:szCs w:val="20"/>
        <w:lang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87298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3991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4666E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6739B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B47D9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B641F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2633C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94C5A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95715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5EB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F50D2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6769F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707A4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113B7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20F83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20E62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01523"/>
    <w:multiLevelType w:val="hybridMultilevel"/>
    <w:tmpl w:val="1C3EEC0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2C2ACFE">
      <w:start w:val="1"/>
      <w:numFmt w:val="decimal"/>
      <w:lvlText w:val="%4."/>
      <w:lvlJc w:val="left"/>
      <w:pPr>
        <w:ind w:left="2880" w:hanging="360"/>
      </w:pPr>
      <w:rPr>
        <w:b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321B9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F229E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E2FED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D1976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305FF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7784D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D18D0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96FEE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DD3293"/>
    <w:multiLevelType w:val="hybridMultilevel"/>
    <w:tmpl w:val="E3FE1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A3684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FC748D5"/>
    <w:multiLevelType w:val="hybridMultilevel"/>
    <w:tmpl w:val="B6DECFE8"/>
    <w:lvl w:ilvl="0" w:tplc="A32A1CF6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26"/>
  </w:num>
  <w:num w:numId="11">
    <w:abstractNumId w:val="20"/>
  </w:num>
  <w:num w:numId="12">
    <w:abstractNumId w:val="9"/>
  </w:num>
  <w:num w:numId="13">
    <w:abstractNumId w:val="4"/>
  </w:num>
  <w:num w:numId="14">
    <w:abstractNumId w:val="5"/>
  </w:num>
  <w:num w:numId="15">
    <w:abstractNumId w:val="18"/>
  </w:num>
  <w:num w:numId="16">
    <w:abstractNumId w:val="8"/>
  </w:num>
  <w:num w:numId="17">
    <w:abstractNumId w:val="6"/>
  </w:num>
  <w:num w:numId="18">
    <w:abstractNumId w:val="22"/>
  </w:num>
  <w:num w:numId="19">
    <w:abstractNumId w:val="25"/>
  </w:num>
  <w:num w:numId="20">
    <w:abstractNumId w:val="15"/>
  </w:num>
  <w:num w:numId="21">
    <w:abstractNumId w:val="14"/>
  </w:num>
  <w:num w:numId="22">
    <w:abstractNumId w:val="19"/>
  </w:num>
  <w:num w:numId="23">
    <w:abstractNumId w:val="7"/>
  </w:num>
  <w:num w:numId="24">
    <w:abstractNumId w:val="0"/>
  </w:num>
  <w:num w:numId="25">
    <w:abstractNumId w:val="21"/>
  </w:num>
  <w:num w:numId="26">
    <w:abstractNumId w:val="12"/>
  </w:num>
  <w:num w:numId="27">
    <w:abstractNumId w:val="17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385"/>
    <w:rsid w:val="0015728D"/>
    <w:rsid w:val="001C1957"/>
    <w:rsid w:val="00211055"/>
    <w:rsid w:val="002C458F"/>
    <w:rsid w:val="003B31FD"/>
    <w:rsid w:val="003C3CB9"/>
    <w:rsid w:val="00424385"/>
    <w:rsid w:val="0048480B"/>
    <w:rsid w:val="004F0F22"/>
    <w:rsid w:val="005B6745"/>
    <w:rsid w:val="00605580"/>
    <w:rsid w:val="006E15C7"/>
    <w:rsid w:val="00703B26"/>
    <w:rsid w:val="00725C30"/>
    <w:rsid w:val="007D5FA3"/>
    <w:rsid w:val="00832702"/>
    <w:rsid w:val="00874B7D"/>
    <w:rsid w:val="0091745A"/>
    <w:rsid w:val="0095252C"/>
    <w:rsid w:val="00996347"/>
    <w:rsid w:val="009A0C46"/>
    <w:rsid w:val="009A46D0"/>
    <w:rsid w:val="009A5550"/>
    <w:rsid w:val="00A011EE"/>
    <w:rsid w:val="00BB32F8"/>
    <w:rsid w:val="00BB78D9"/>
    <w:rsid w:val="00D66EEA"/>
    <w:rsid w:val="00DA4A11"/>
    <w:rsid w:val="00DC3B07"/>
    <w:rsid w:val="00DF5DB0"/>
    <w:rsid w:val="00E0680C"/>
    <w:rsid w:val="00E06EC7"/>
    <w:rsid w:val="00EA2A06"/>
    <w:rsid w:val="00EA5A1A"/>
    <w:rsid w:val="00ED70D6"/>
    <w:rsid w:val="00F14E20"/>
    <w:rsid w:val="00F616B8"/>
    <w:rsid w:val="00FD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B082"/>
  <w15:chartTrackingRefBased/>
  <w15:docId w15:val="{4590CE0E-8A75-44D2-9F97-74AACBDA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autoRedefine/>
    <w:rsid w:val="00424385"/>
    <w:pPr>
      <w:spacing w:after="200" w:line="276" w:lineRule="auto"/>
    </w:pPr>
    <w:rPr>
      <w:rFonts w:ascii="Calibri" w:eastAsia="Calibri" w:hAnsi="Calibri" w:cs="Calibri"/>
      <w:color w:val="000000"/>
      <w:u w:color="000000"/>
      <w:lang w:eastAsia="pl-PL"/>
    </w:rPr>
  </w:style>
  <w:style w:type="paragraph" w:customStyle="1" w:styleId="Domylne">
    <w:name w:val="Domyślne"/>
    <w:rsid w:val="00424385"/>
    <w:pPr>
      <w:spacing w:after="0" w:line="240" w:lineRule="auto"/>
    </w:pPr>
    <w:rPr>
      <w:rFonts w:ascii="Helvetica" w:eastAsia="Arial Unicode MS" w:hAnsi="Arial Unicode MS" w:cs="Arial Unicode MS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438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42438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</Pages>
  <Words>1463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Trzeciak</dc:creator>
  <cp:keywords/>
  <dc:description/>
  <cp:lastModifiedBy>Radosław Trzeciak</cp:lastModifiedBy>
  <cp:revision>3</cp:revision>
  <dcterms:created xsi:type="dcterms:W3CDTF">2019-08-08T09:46:00Z</dcterms:created>
  <dcterms:modified xsi:type="dcterms:W3CDTF">2019-08-08T11:09:00Z</dcterms:modified>
</cp:coreProperties>
</file>