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4B5" w:rsidRPr="00471207" w:rsidRDefault="00E954B5" w:rsidP="002B6A6B">
      <w:pPr>
        <w:pStyle w:val="Tre"/>
        <w:tabs>
          <w:tab w:val="center" w:pos="7230"/>
        </w:tabs>
        <w:rPr>
          <w:szCs w:val="24"/>
        </w:rPr>
      </w:pPr>
    </w:p>
    <w:p w:rsidR="00046F2E" w:rsidRPr="00471207" w:rsidRDefault="00046F2E" w:rsidP="00046F2E">
      <w:pPr>
        <w:pStyle w:val="Tekstpodstawowy"/>
        <w:spacing w:line="360" w:lineRule="auto"/>
        <w:jc w:val="center"/>
        <w:rPr>
          <w:b/>
          <w:bCs/>
        </w:rPr>
      </w:pPr>
      <w:bookmarkStart w:id="0" w:name="pod_dok_podpis"/>
      <w:r w:rsidRPr="00471207">
        <w:rPr>
          <w:b/>
          <w:bCs/>
        </w:rPr>
        <w:t>Kazus cywilny</w:t>
      </w:r>
    </w:p>
    <w:p w:rsidR="00E954B5" w:rsidRPr="00471207" w:rsidRDefault="00E954B5" w:rsidP="00046F2E">
      <w:pPr>
        <w:pStyle w:val="Podpowied"/>
        <w:tabs>
          <w:tab w:val="center" w:pos="7230"/>
        </w:tabs>
        <w:spacing w:line="360" w:lineRule="auto"/>
        <w:jc w:val="center"/>
        <w:rPr>
          <w:sz w:val="24"/>
          <w:szCs w:val="24"/>
        </w:rPr>
      </w:pPr>
    </w:p>
    <w:p w:rsidR="002B6A6B" w:rsidRPr="00471207" w:rsidRDefault="00E954B5" w:rsidP="002B6A6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4"/>
          <w:szCs w:val="24"/>
        </w:rPr>
      </w:pPr>
      <w:r w:rsidRPr="00471207">
        <w:rPr>
          <w:sz w:val="24"/>
          <w:szCs w:val="24"/>
        </w:rPr>
        <w:tab/>
      </w:r>
    </w:p>
    <w:p w:rsidR="00525F03" w:rsidRPr="00471207" w:rsidRDefault="00525F03" w:rsidP="00525F0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  <w:r w:rsidRPr="00471207">
        <w:rPr>
          <w:bCs/>
          <w:sz w:val="24"/>
          <w:szCs w:val="24"/>
        </w:rPr>
        <w:t xml:space="preserve">Postanowieniem z dnia 31 stycznia 2023 r. Sąd Okręgowy w Gorzowie Wielkopolskim  oddalił wniosek pozwanego o przyznanie kosztów zastępstwa procesowego. </w:t>
      </w:r>
    </w:p>
    <w:p w:rsidR="00525F03" w:rsidRPr="00471207" w:rsidRDefault="00525F03" w:rsidP="00525F03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71207">
        <w:rPr>
          <w:bCs/>
          <w:sz w:val="24"/>
          <w:szCs w:val="24"/>
        </w:rPr>
        <w:tab/>
        <w:t>Postanowienie zapadło w następujących okolicznościach:</w:t>
      </w:r>
    </w:p>
    <w:p w:rsidR="00525F03" w:rsidRPr="00471207" w:rsidRDefault="00525F03" w:rsidP="00525F03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71207">
        <w:rPr>
          <w:bCs/>
          <w:sz w:val="24"/>
          <w:szCs w:val="24"/>
        </w:rPr>
        <w:tab/>
        <w:t xml:space="preserve">Pismem z dnia </w:t>
      </w:r>
      <w:r w:rsidR="00C16FB0">
        <w:rPr>
          <w:bCs/>
          <w:sz w:val="24"/>
          <w:szCs w:val="24"/>
        </w:rPr>
        <w:t>9</w:t>
      </w:r>
      <w:r w:rsidRPr="00471207">
        <w:rPr>
          <w:bCs/>
          <w:sz w:val="24"/>
          <w:szCs w:val="24"/>
        </w:rPr>
        <w:t xml:space="preserve"> stycznia 2023 r.</w:t>
      </w:r>
      <w:r w:rsidR="007B2BBA">
        <w:rPr>
          <w:bCs/>
          <w:sz w:val="24"/>
          <w:szCs w:val="24"/>
        </w:rPr>
        <w:t>, złożonym na rozprawie w dniu 11 stycznia 2023</w:t>
      </w:r>
      <w:r w:rsidRPr="00471207">
        <w:rPr>
          <w:bCs/>
          <w:sz w:val="24"/>
          <w:szCs w:val="24"/>
        </w:rPr>
        <w:t xml:space="preserve"> </w:t>
      </w:r>
      <w:r w:rsidR="00C16FB0">
        <w:rPr>
          <w:bCs/>
          <w:sz w:val="24"/>
          <w:szCs w:val="24"/>
        </w:rPr>
        <w:t>r.</w:t>
      </w:r>
      <w:r w:rsidR="00923AB9">
        <w:rPr>
          <w:bCs/>
          <w:sz w:val="24"/>
          <w:szCs w:val="24"/>
        </w:rPr>
        <w:t xml:space="preserve"> i wówczas </w:t>
      </w:r>
      <w:r w:rsidR="005F729E">
        <w:rPr>
          <w:bCs/>
          <w:sz w:val="24"/>
          <w:szCs w:val="24"/>
        </w:rPr>
        <w:t>doręczonym</w:t>
      </w:r>
      <w:r w:rsidR="00923AB9">
        <w:rPr>
          <w:bCs/>
          <w:sz w:val="24"/>
          <w:szCs w:val="24"/>
        </w:rPr>
        <w:t xml:space="preserve"> pełnomocnikowi pozwanego</w:t>
      </w:r>
      <w:r w:rsidR="00C16FB0">
        <w:rPr>
          <w:bCs/>
          <w:sz w:val="24"/>
          <w:szCs w:val="24"/>
        </w:rPr>
        <w:t xml:space="preserve">, </w:t>
      </w:r>
      <w:r w:rsidRPr="00471207">
        <w:rPr>
          <w:bCs/>
          <w:sz w:val="24"/>
          <w:szCs w:val="24"/>
        </w:rPr>
        <w:t>powód cofnął pozew i zrzekł się roszczenia. Postanowieniem z dnia 11 stycznia 2023 r.</w:t>
      </w:r>
      <w:r w:rsidR="003C14F1" w:rsidRPr="00471207">
        <w:rPr>
          <w:bCs/>
          <w:sz w:val="24"/>
          <w:szCs w:val="24"/>
        </w:rPr>
        <w:t xml:space="preserve"> wydanym</w:t>
      </w:r>
      <w:r w:rsidRPr="00471207">
        <w:rPr>
          <w:bCs/>
          <w:sz w:val="24"/>
          <w:szCs w:val="24"/>
        </w:rPr>
        <w:t xml:space="preserve"> na rozprawie Sąd Okręgowy umorzył postępowanie w sprawie</w:t>
      </w:r>
      <w:r w:rsidR="005F729E">
        <w:rPr>
          <w:bCs/>
          <w:sz w:val="24"/>
          <w:szCs w:val="24"/>
        </w:rPr>
        <w:t>.</w:t>
      </w:r>
      <w:r w:rsidRPr="00471207">
        <w:rPr>
          <w:bCs/>
          <w:sz w:val="24"/>
          <w:szCs w:val="24"/>
        </w:rPr>
        <w:t xml:space="preserve"> Pismem z dnia 13 stycznia 2023 r. pełnomocnik pozwanego wniósł o przyznanie kosztów zastępstwa procesowego</w:t>
      </w:r>
      <w:r w:rsidR="007437FC">
        <w:rPr>
          <w:bCs/>
          <w:sz w:val="24"/>
          <w:szCs w:val="24"/>
        </w:rPr>
        <w:t>.</w:t>
      </w:r>
      <w:r w:rsidRPr="00471207">
        <w:rPr>
          <w:bCs/>
          <w:sz w:val="24"/>
          <w:szCs w:val="24"/>
        </w:rPr>
        <w:t xml:space="preserve"> </w:t>
      </w:r>
    </w:p>
    <w:p w:rsidR="00525F03" w:rsidRPr="00471207" w:rsidRDefault="00525F03" w:rsidP="00525F03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71207">
        <w:rPr>
          <w:bCs/>
          <w:sz w:val="24"/>
          <w:szCs w:val="24"/>
        </w:rPr>
        <w:tab/>
        <w:t xml:space="preserve">Rozpoznając wniosek, Sąd </w:t>
      </w:r>
      <w:r w:rsidR="005F729E">
        <w:rPr>
          <w:bCs/>
          <w:sz w:val="24"/>
          <w:szCs w:val="24"/>
        </w:rPr>
        <w:t>pierwszej</w:t>
      </w:r>
      <w:r w:rsidRPr="00471207">
        <w:rPr>
          <w:bCs/>
          <w:sz w:val="24"/>
          <w:szCs w:val="24"/>
        </w:rPr>
        <w:t xml:space="preserve"> instancji uznał go </w:t>
      </w:r>
      <w:r w:rsidR="005F729E">
        <w:rPr>
          <w:bCs/>
          <w:sz w:val="24"/>
          <w:szCs w:val="24"/>
        </w:rPr>
        <w:t>z</w:t>
      </w:r>
      <w:r w:rsidRPr="00471207">
        <w:rPr>
          <w:bCs/>
          <w:sz w:val="24"/>
          <w:szCs w:val="24"/>
        </w:rPr>
        <w:t>a niezasadny</w:t>
      </w:r>
      <w:r w:rsidR="005F729E">
        <w:rPr>
          <w:bCs/>
          <w:sz w:val="24"/>
          <w:szCs w:val="24"/>
        </w:rPr>
        <w:t>, wskazując</w:t>
      </w:r>
      <w:r w:rsidRPr="00471207">
        <w:rPr>
          <w:bCs/>
          <w:sz w:val="24"/>
          <w:szCs w:val="24"/>
        </w:rPr>
        <w:t xml:space="preserve">, że zgodnie z </w:t>
      </w:r>
      <w:r w:rsidR="001E2FE7">
        <w:rPr>
          <w:bCs/>
          <w:sz w:val="24"/>
          <w:szCs w:val="24"/>
        </w:rPr>
        <w:t xml:space="preserve">powołanym we wniosku przepisem </w:t>
      </w:r>
      <w:r w:rsidR="007437FC" w:rsidRPr="007437FC">
        <w:rPr>
          <w:bCs/>
          <w:sz w:val="24"/>
          <w:szCs w:val="24"/>
        </w:rPr>
        <w:t>art. 203 § 3 k.p.c.</w:t>
      </w:r>
      <w:r w:rsidR="001E2FE7">
        <w:rPr>
          <w:bCs/>
          <w:sz w:val="24"/>
          <w:szCs w:val="24"/>
        </w:rPr>
        <w:t>,</w:t>
      </w:r>
      <w:r w:rsidR="007437FC">
        <w:rPr>
          <w:bCs/>
          <w:sz w:val="24"/>
          <w:szCs w:val="24"/>
        </w:rPr>
        <w:t xml:space="preserve"> </w:t>
      </w:r>
      <w:r w:rsidRPr="00471207">
        <w:rPr>
          <w:bCs/>
          <w:sz w:val="24"/>
          <w:szCs w:val="24"/>
        </w:rPr>
        <w:t xml:space="preserve">pozwany może złożyć wniosek o przyznanie kosztów, jeżeli cofnięcie pozwu nastąpiło poza rozprawą, </w:t>
      </w:r>
      <w:r w:rsidR="004D5467">
        <w:rPr>
          <w:bCs/>
          <w:sz w:val="24"/>
          <w:szCs w:val="24"/>
        </w:rPr>
        <w:br/>
      </w:r>
      <w:bookmarkStart w:id="1" w:name="_GoBack"/>
      <w:bookmarkEnd w:id="1"/>
      <w:r w:rsidRPr="00471207">
        <w:rPr>
          <w:bCs/>
          <w:sz w:val="24"/>
          <w:szCs w:val="24"/>
        </w:rPr>
        <w:t xml:space="preserve">a przewodniczący odwoła rozprawę i cofnięciu zawiadomi pozwanego, jednakże w niniejszej sprawie sytuacja taka nie zaistniała, gdyż cofnięcie pozwu ze zrzeczeniem się roszczenia oraz umorzenie postępowania nastąpiło na rozprawie. </w:t>
      </w:r>
    </w:p>
    <w:p w:rsidR="00525F03" w:rsidRPr="00471207" w:rsidRDefault="00525F03" w:rsidP="00525F03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71207">
        <w:rPr>
          <w:bCs/>
          <w:sz w:val="24"/>
          <w:szCs w:val="24"/>
        </w:rPr>
        <w:tab/>
        <w:t>Pozwany</w:t>
      </w:r>
      <w:r w:rsidR="00627F03">
        <w:rPr>
          <w:bCs/>
          <w:sz w:val="24"/>
          <w:szCs w:val="24"/>
        </w:rPr>
        <w:t xml:space="preserve"> wniósł zażalenie na to</w:t>
      </w:r>
      <w:r w:rsidRPr="00471207">
        <w:rPr>
          <w:bCs/>
          <w:sz w:val="24"/>
          <w:szCs w:val="24"/>
        </w:rPr>
        <w:t xml:space="preserve"> postanowienie, domagając się jego zmiany poprzez </w:t>
      </w:r>
      <w:r w:rsidR="00627F03">
        <w:rPr>
          <w:bCs/>
          <w:sz w:val="24"/>
          <w:szCs w:val="24"/>
        </w:rPr>
        <w:t>zasądzenie od powoda na rzecz pozwanego</w:t>
      </w:r>
      <w:r w:rsidRPr="00471207">
        <w:rPr>
          <w:bCs/>
          <w:sz w:val="24"/>
          <w:szCs w:val="24"/>
        </w:rPr>
        <w:t xml:space="preserve"> kosztów zastępstwa procesowego według norm przepisanych, ewentualnie jego uchyleni</w:t>
      </w:r>
      <w:r w:rsidR="003C14F1" w:rsidRPr="00471207">
        <w:rPr>
          <w:bCs/>
          <w:sz w:val="24"/>
          <w:szCs w:val="24"/>
        </w:rPr>
        <w:t>a</w:t>
      </w:r>
      <w:r w:rsidRPr="00471207">
        <w:rPr>
          <w:bCs/>
          <w:sz w:val="24"/>
          <w:szCs w:val="24"/>
        </w:rPr>
        <w:t xml:space="preserve"> i przekazani</w:t>
      </w:r>
      <w:r w:rsidR="003C14F1" w:rsidRPr="00471207">
        <w:rPr>
          <w:bCs/>
          <w:sz w:val="24"/>
          <w:szCs w:val="24"/>
        </w:rPr>
        <w:t>a</w:t>
      </w:r>
      <w:r w:rsidRPr="00471207">
        <w:rPr>
          <w:bCs/>
          <w:sz w:val="24"/>
          <w:szCs w:val="24"/>
        </w:rPr>
        <w:t xml:space="preserve"> sprawy do ponownego </w:t>
      </w:r>
      <w:r w:rsidR="004526BD" w:rsidRPr="00471207">
        <w:rPr>
          <w:bCs/>
          <w:sz w:val="24"/>
          <w:szCs w:val="24"/>
        </w:rPr>
        <w:t>rozpoznania.</w:t>
      </w:r>
      <w:r w:rsidRPr="00471207">
        <w:rPr>
          <w:bCs/>
          <w:sz w:val="24"/>
          <w:szCs w:val="24"/>
        </w:rPr>
        <w:t xml:space="preserve">  </w:t>
      </w:r>
    </w:p>
    <w:p w:rsidR="00525F03" w:rsidRPr="00471207" w:rsidRDefault="00525F03" w:rsidP="00525F03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71207">
        <w:rPr>
          <w:bCs/>
          <w:sz w:val="24"/>
          <w:szCs w:val="24"/>
        </w:rPr>
        <w:tab/>
        <w:t>Skarżący zarzucił niewłaściwą interpretację przepisu art. 203 § 3 k.p.c. wyrażającą się w przyjęciu, iż nie ma on zastosowania w sprawie</w:t>
      </w:r>
      <w:r w:rsidR="00627F03">
        <w:rPr>
          <w:bCs/>
          <w:sz w:val="24"/>
          <w:szCs w:val="24"/>
        </w:rPr>
        <w:t>, podnosząc</w:t>
      </w:r>
      <w:r w:rsidRPr="00471207">
        <w:rPr>
          <w:bCs/>
          <w:sz w:val="24"/>
          <w:szCs w:val="24"/>
        </w:rPr>
        <w:t>, że cofnięcie pozwu na rozprawie nie stanowi przeszkody do złożenia przez pozwanego wniosku o przyznanie kosztów zastępstwa, albowiem okoliczność ta pozostaje bez wpływu na zasadność wniosku. Zaznaczył</w:t>
      </w:r>
      <w:r w:rsidR="001E2FE7">
        <w:rPr>
          <w:bCs/>
          <w:sz w:val="24"/>
          <w:szCs w:val="24"/>
        </w:rPr>
        <w:t xml:space="preserve"> przy tym</w:t>
      </w:r>
      <w:r w:rsidRPr="00471207">
        <w:rPr>
          <w:bCs/>
          <w:sz w:val="24"/>
          <w:szCs w:val="24"/>
        </w:rPr>
        <w:t xml:space="preserve">, że nawet jeśli jako podstawę wniosku błędnie wskazano art. 203 § 3 k.p.c. zamiast art. 203 § 2 k.p.c., Sąd nie był w tym zakresie  związany stanowiskiem pozwanego, lecz jego wniosek winien był rozpoznać odpowiednio do obowiązujących regulacji. </w:t>
      </w:r>
    </w:p>
    <w:p w:rsidR="00B33830" w:rsidRPr="00471207" w:rsidRDefault="00B33830" w:rsidP="002B6A6B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</w:p>
    <w:bookmarkEnd w:id="0"/>
    <w:p w:rsidR="00E954B5" w:rsidRPr="00471207" w:rsidRDefault="00471207" w:rsidP="00471207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71207">
        <w:rPr>
          <w:b/>
          <w:sz w:val="24"/>
          <w:szCs w:val="24"/>
        </w:rPr>
        <w:t>Proszę dokonać oceny prawnej zażalenia pozwan</w:t>
      </w:r>
      <w:r>
        <w:rPr>
          <w:b/>
          <w:sz w:val="24"/>
          <w:szCs w:val="24"/>
        </w:rPr>
        <w:t>ego</w:t>
      </w:r>
      <w:r w:rsidRPr="00471207">
        <w:rPr>
          <w:b/>
          <w:sz w:val="24"/>
          <w:szCs w:val="24"/>
        </w:rPr>
        <w:t xml:space="preserve"> oraz zaproponować rozstrzygnięcie sądu odwoławczego i je uzasadnić</w:t>
      </w:r>
      <w:r w:rsidR="007B2BBA">
        <w:rPr>
          <w:b/>
          <w:sz w:val="24"/>
          <w:szCs w:val="24"/>
        </w:rPr>
        <w:t>.</w:t>
      </w:r>
    </w:p>
    <w:sectPr w:rsidR="00E954B5" w:rsidRPr="00471207" w:rsidSect="00002FFB">
      <w:headerReference w:type="default" r:id="rId7"/>
      <w:footerReference w:type="default" r:id="rId8"/>
      <w:pgSz w:w="11907" w:h="16840" w:code="9"/>
      <w:pgMar w:top="1418" w:right="1559" w:bottom="1418" w:left="1418" w:header="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E7B" w:rsidRDefault="00141E7B">
      <w:r>
        <w:separator/>
      </w:r>
    </w:p>
  </w:endnote>
  <w:endnote w:type="continuationSeparator" w:id="0">
    <w:p w:rsidR="00141E7B" w:rsidRDefault="0014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D18" w:rsidRDefault="00ED7D18">
    <w:pPr>
      <w:tabs>
        <w:tab w:val="left" w:pos="3600"/>
        <w:tab w:val="right" w:pos="7200"/>
      </w:tabs>
      <w:spacing w:before="60"/>
      <w:rPr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E7B" w:rsidRDefault="00141E7B">
      <w:r>
        <w:separator/>
      </w:r>
    </w:p>
  </w:footnote>
  <w:footnote w:type="continuationSeparator" w:id="0">
    <w:p w:rsidR="00141E7B" w:rsidRDefault="00141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D18" w:rsidRDefault="00ED7D18">
    <w:pPr>
      <w:pStyle w:val="Nagwek"/>
      <w:tabs>
        <w:tab w:val="clear" w:pos="4536"/>
      </w:tabs>
    </w:pPr>
  </w:p>
  <w:p w:rsidR="00C91144" w:rsidRDefault="00C91144">
    <w:pPr>
      <w:pStyle w:val="Nagwek"/>
      <w:tabs>
        <w:tab w:val="clear" w:pos="4536"/>
      </w:tabs>
    </w:pPr>
  </w:p>
  <w:p w:rsidR="00C91144" w:rsidRDefault="00C91144">
    <w:pPr>
      <w:pStyle w:val="Nagwek"/>
      <w:tabs>
        <w:tab w:val="clear" w:pos="4536"/>
      </w:tabs>
    </w:pPr>
  </w:p>
  <w:p w:rsidR="00C91144" w:rsidRDefault="00C91144">
    <w:pPr>
      <w:pStyle w:val="Nagwek"/>
      <w:tabs>
        <w:tab w:val="clear" w:pos="4536"/>
      </w:tabs>
    </w:pPr>
  </w:p>
  <w:p w:rsidR="00C91144" w:rsidRDefault="00C91144">
    <w:pPr>
      <w:pStyle w:val="Nagwek"/>
      <w:tabs>
        <w:tab w:val="clear" w:pos="4536"/>
      </w:tabs>
    </w:pPr>
  </w:p>
  <w:p w:rsidR="00C91144" w:rsidRPr="00C91144" w:rsidRDefault="00C91144">
    <w:pPr>
      <w:pStyle w:val="Nagwek"/>
      <w:tabs>
        <w:tab w:val="clear" w:pos="4536"/>
      </w:tabs>
      <w:rPr>
        <w:i w:val="0"/>
        <w:sz w:val="24"/>
        <w:szCs w:val="24"/>
      </w:rPr>
    </w:pPr>
    <w:r w:rsidRPr="00C91144">
      <w:rPr>
        <w:i w:val="0"/>
        <w:sz w:val="24"/>
        <w:szCs w:val="24"/>
      </w:rPr>
      <w:t>Kd-1120-3/23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CF2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1024E17"/>
    <w:multiLevelType w:val="hybridMultilevel"/>
    <w:tmpl w:val="19F4095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04AE9"/>
    <w:multiLevelType w:val="hybridMultilevel"/>
    <w:tmpl w:val="0748C77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0142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98"/>
    <w:rsid w:val="00002FFB"/>
    <w:rsid w:val="00004774"/>
    <w:rsid w:val="00046F2E"/>
    <w:rsid w:val="00053FF3"/>
    <w:rsid w:val="00060291"/>
    <w:rsid w:val="00076108"/>
    <w:rsid w:val="00077AB2"/>
    <w:rsid w:val="00095AF1"/>
    <w:rsid w:val="00097694"/>
    <w:rsid w:val="000A161E"/>
    <w:rsid w:val="000C330F"/>
    <w:rsid w:val="0011570D"/>
    <w:rsid w:val="00120AEE"/>
    <w:rsid w:val="00141E7B"/>
    <w:rsid w:val="00146AD8"/>
    <w:rsid w:val="0018325B"/>
    <w:rsid w:val="001871C2"/>
    <w:rsid w:val="001C0014"/>
    <w:rsid w:val="001C05C7"/>
    <w:rsid w:val="001C4DCA"/>
    <w:rsid w:val="001D2CBA"/>
    <w:rsid w:val="001E2FE7"/>
    <w:rsid w:val="001E3CE5"/>
    <w:rsid w:val="002004CB"/>
    <w:rsid w:val="0026684E"/>
    <w:rsid w:val="00273F5B"/>
    <w:rsid w:val="00296694"/>
    <w:rsid w:val="002B6A6B"/>
    <w:rsid w:val="002C4E14"/>
    <w:rsid w:val="00320F1C"/>
    <w:rsid w:val="00335743"/>
    <w:rsid w:val="00350F6E"/>
    <w:rsid w:val="00362120"/>
    <w:rsid w:val="00373776"/>
    <w:rsid w:val="00377F14"/>
    <w:rsid w:val="003855D7"/>
    <w:rsid w:val="00390A66"/>
    <w:rsid w:val="003C1123"/>
    <w:rsid w:val="003C14F1"/>
    <w:rsid w:val="003C4ADC"/>
    <w:rsid w:val="003E6C4F"/>
    <w:rsid w:val="003F4215"/>
    <w:rsid w:val="00413860"/>
    <w:rsid w:val="0042010C"/>
    <w:rsid w:val="00431D26"/>
    <w:rsid w:val="004526BD"/>
    <w:rsid w:val="00471207"/>
    <w:rsid w:val="004D5467"/>
    <w:rsid w:val="004E4C61"/>
    <w:rsid w:val="004F144B"/>
    <w:rsid w:val="005118DD"/>
    <w:rsid w:val="00525F03"/>
    <w:rsid w:val="005320EA"/>
    <w:rsid w:val="0056746F"/>
    <w:rsid w:val="005807D3"/>
    <w:rsid w:val="00593647"/>
    <w:rsid w:val="005C1EC5"/>
    <w:rsid w:val="005C490C"/>
    <w:rsid w:val="005F173E"/>
    <w:rsid w:val="005F729E"/>
    <w:rsid w:val="00601AA4"/>
    <w:rsid w:val="006256DA"/>
    <w:rsid w:val="00625917"/>
    <w:rsid w:val="00627F03"/>
    <w:rsid w:val="006375DD"/>
    <w:rsid w:val="00641D5C"/>
    <w:rsid w:val="00657798"/>
    <w:rsid w:val="00694179"/>
    <w:rsid w:val="006B2FBD"/>
    <w:rsid w:val="006B5CF2"/>
    <w:rsid w:val="006B62BC"/>
    <w:rsid w:val="006C18EC"/>
    <w:rsid w:val="00702D80"/>
    <w:rsid w:val="007437FC"/>
    <w:rsid w:val="0075296B"/>
    <w:rsid w:val="007807F7"/>
    <w:rsid w:val="007B2BBA"/>
    <w:rsid w:val="007C04FB"/>
    <w:rsid w:val="007D6174"/>
    <w:rsid w:val="00844FB6"/>
    <w:rsid w:val="00896C37"/>
    <w:rsid w:val="008D27DC"/>
    <w:rsid w:val="00923AB9"/>
    <w:rsid w:val="00944F61"/>
    <w:rsid w:val="00966E51"/>
    <w:rsid w:val="009779E4"/>
    <w:rsid w:val="009911DB"/>
    <w:rsid w:val="009A1D60"/>
    <w:rsid w:val="009A3FE5"/>
    <w:rsid w:val="009E7C95"/>
    <w:rsid w:val="00A06F80"/>
    <w:rsid w:val="00A128D2"/>
    <w:rsid w:val="00A20204"/>
    <w:rsid w:val="00A45649"/>
    <w:rsid w:val="00AA48C3"/>
    <w:rsid w:val="00AD2D43"/>
    <w:rsid w:val="00AE460B"/>
    <w:rsid w:val="00B009CA"/>
    <w:rsid w:val="00B01813"/>
    <w:rsid w:val="00B02552"/>
    <w:rsid w:val="00B33830"/>
    <w:rsid w:val="00B8083E"/>
    <w:rsid w:val="00B84CD1"/>
    <w:rsid w:val="00BD42F3"/>
    <w:rsid w:val="00BE1689"/>
    <w:rsid w:val="00BE494F"/>
    <w:rsid w:val="00BE64F1"/>
    <w:rsid w:val="00BF5940"/>
    <w:rsid w:val="00BF5DA5"/>
    <w:rsid w:val="00C12034"/>
    <w:rsid w:val="00C164B2"/>
    <w:rsid w:val="00C16FB0"/>
    <w:rsid w:val="00C45F31"/>
    <w:rsid w:val="00C91144"/>
    <w:rsid w:val="00CA0297"/>
    <w:rsid w:val="00CC09D3"/>
    <w:rsid w:val="00CF386B"/>
    <w:rsid w:val="00D23C4F"/>
    <w:rsid w:val="00D45856"/>
    <w:rsid w:val="00D7669A"/>
    <w:rsid w:val="00D949DB"/>
    <w:rsid w:val="00DA6D4B"/>
    <w:rsid w:val="00DC2628"/>
    <w:rsid w:val="00E13325"/>
    <w:rsid w:val="00E14E51"/>
    <w:rsid w:val="00E37447"/>
    <w:rsid w:val="00E4368A"/>
    <w:rsid w:val="00E75F1F"/>
    <w:rsid w:val="00E954B5"/>
    <w:rsid w:val="00E95A88"/>
    <w:rsid w:val="00EA6492"/>
    <w:rsid w:val="00ED7D18"/>
    <w:rsid w:val="00F016C7"/>
    <w:rsid w:val="00F24607"/>
    <w:rsid w:val="00F936E1"/>
    <w:rsid w:val="00FA0234"/>
    <w:rsid w:val="00FA7DE2"/>
    <w:rsid w:val="00FD6158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7A17CF8"/>
  <w15:chartTrackingRefBased/>
  <w15:docId w15:val="{B46A39AD-3380-4A32-A6AE-CA2A712B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18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3780"/>
      </w:tabs>
      <w:spacing w:line="360" w:lineRule="auto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i/>
      <w:sz w:val="16"/>
    </w:rPr>
  </w:style>
  <w:style w:type="paragraph" w:styleId="Stopka">
    <w:name w:val="footer"/>
    <w:basedOn w:val="Normalny"/>
    <w:rPr>
      <w:rFonts w:ascii="Arial" w:hAnsi="Arial" w:cs="Arial"/>
      <w:sz w:val="12"/>
      <w:szCs w:val="12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</w:rPr>
  </w:style>
  <w:style w:type="paragraph" w:customStyle="1" w:styleId="Podpowied">
    <w:name w:val="Podpowiedź"/>
    <w:basedOn w:val="Normalny"/>
    <w:pPr>
      <w:tabs>
        <w:tab w:val="center" w:pos="7740"/>
      </w:tabs>
    </w:pPr>
    <w:rPr>
      <w:sz w:val="16"/>
      <w:szCs w:val="14"/>
    </w:rPr>
  </w:style>
  <w:style w:type="paragraph" w:customStyle="1" w:styleId="Adresat">
    <w:name w:val="Adresat"/>
    <w:basedOn w:val="Normalny"/>
    <w:pPr>
      <w:ind w:left="5400" w:hanging="2"/>
    </w:pPr>
    <w:rPr>
      <w:sz w:val="26"/>
    </w:rPr>
  </w:style>
  <w:style w:type="paragraph" w:styleId="Tytu">
    <w:name w:val="Title"/>
    <w:basedOn w:val="Normalny"/>
    <w:next w:val="Podtytu"/>
    <w:qFormat/>
    <w:pPr>
      <w:spacing w:before="600" w:after="12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Podtytu">
    <w:name w:val="Subtitle"/>
    <w:basedOn w:val="Normalny"/>
    <w:next w:val="Tre"/>
    <w:qFormat/>
    <w:pPr>
      <w:spacing w:after="600"/>
      <w:jc w:val="center"/>
      <w:outlineLvl w:val="1"/>
    </w:pPr>
    <w:rPr>
      <w:rFonts w:cs="Arial"/>
      <w:b/>
      <w:sz w:val="28"/>
      <w:szCs w:val="24"/>
    </w:rPr>
  </w:style>
  <w:style w:type="paragraph" w:customStyle="1" w:styleId="Tre">
    <w:name w:val="Treść"/>
    <w:basedOn w:val="Normalny"/>
    <w:pPr>
      <w:spacing w:line="360" w:lineRule="auto"/>
      <w:jc w:val="both"/>
      <w:outlineLvl w:val="0"/>
    </w:pPr>
    <w:rPr>
      <w:sz w:val="24"/>
      <w:szCs w:val="18"/>
    </w:rPr>
  </w:style>
  <w:style w:type="paragraph" w:customStyle="1" w:styleId="Pouczenienagwek">
    <w:name w:val="Pouczenie nagłówek"/>
    <w:basedOn w:val="Podtytu"/>
    <w:rPr>
      <w:caps/>
      <w:spacing w:val="80"/>
      <w:szCs w:val="22"/>
    </w:rPr>
  </w:style>
  <w:style w:type="character" w:customStyle="1" w:styleId="PodpowiedZnak">
    <w:name w:val="Podpowiedź Znak"/>
    <w:rPr>
      <w:sz w:val="14"/>
      <w:szCs w:val="14"/>
      <w:lang w:val="pl-PL" w:eastAsia="pl-PL" w:bidi="ar-SA"/>
    </w:rPr>
  </w:style>
  <w:style w:type="paragraph" w:customStyle="1" w:styleId="Datapisma">
    <w:name w:val="Data pisma"/>
    <w:basedOn w:val="Normalny"/>
    <w:pPr>
      <w:tabs>
        <w:tab w:val="right" w:pos="7200"/>
      </w:tabs>
      <w:jc w:val="right"/>
    </w:pPr>
    <w:rPr>
      <w:szCs w:val="18"/>
    </w:rPr>
  </w:style>
  <w:style w:type="paragraph" w:customStyle="1" w:styleId="Piecz">
    <w:name w:val="Pieczęć"/>
    <w:basedOn w:val="Normalny"/>
    <w:pPr>
      <w:spacing w:before="20" w:after="20"/>
      <w:jc w:val="center"/>
    </w:pPr>
    <w:rPr>
      <w:rFonts w:ascii="Arial" w:hAnsi="Arial"/>
      <w:b/>
      <w:sz w:val="20"/>
      <w:szCs w:val="18"/>
    </w:rPr>
  </w:style>
  <w:style w:type="character" w:customStyle="1" w:styleId="PieczZnak">
    <w:name w:val="Pieczęć Znak"/>
    <w:rPr>
      <w:rFonts w:ascii="Arial" w:hAnsi="Arial"/>
      <w:b/>
      <w:sz w:val="16"/>
      <w:szCs w:val="18"/>
      <w:lang w:val="pl-PL" w:eastAsia="pl-PL" w:bidi="ar-SA"/>
    </w:rPr>
  </w:style>
  <w:style w:type="paragraph" w:customStyle="1" w:styleId="Pieczmaa">
    <w:name w:val="Pieczęć mała"/>
    <w:basedOn w:val="Piecz"/>
    <w:rPr>
      <w:b w:val="0"/>
      <w:sz w:val="18"/>
    </w:rPr>
  </w:style>
  <w:style w:type="paragraph" w:customStyle="1" w:styleId="Sygnatura">
    <w:name w:val="Sygnatura"/>
    <w:basedOn w:val="Normalny"/>
    <w:next w:val="Podpowiedzsygnatura"/>
    <w:pPr>
      <w:tabs>
        <w:tab w:val="center" w:pos="1985"/>
      </w:tabs>
      <w:spacing w:before="480" w:after="40"/>
    </w:pPr>
    <w:rPr>
      <w:sz w:val="28"/>
      <w:szCs w:val="24"/>
    </w:rPr>
  </w:style>
  <w:style w:type="paragraph" w:customStyle="1" w:styleId="Pouczenietre">
    <w:name w:val="Pouczenie treść"/>
    <w:basedOn w:val="Normalny"/>
    <w:pPr>
      <w:spacing w:after="120"/>
      <w:jc w:val="both"/>
    </w:pPr>
    <w:rPr>
      <w:sz w:val="22"/>
      <w:szCs w:val="16"/>
    </w:rPr>
  </w:style>
  <w:style w:type="paragraph" w:customStyle="1" w:styleId="Podpowiedstanowisko">
    <w:name w:val="Podpowiedź stanowisko"/>
    <w:basedOn w:val="Podpowied"/>
    <w:next w:val="Podpowied"/>
    <w:pPr>
      <w:spacing w:after="480"/>
    </w:pPr>
    <w:rPr>
      <w:b/>
      <w:sz w:val="20"/>
    </w:rPr>
  </w:style>
  <w:style w:type="paragraph" w:customStyle="1" w:styleId="Nagowekdata">
    <w:name w:val="Nagłowek data"/>
    <w:basedOn w:val="Normalny"/>
    <w:pPr>
      <w:jc w:val="right"/>
    </w:pPr>
    <w:rPr>
      <w:sz w:val="24"/>
      <w:szCs w:val="18"/>
    </w:rPr>
  </w:style>
  <w:style w:type="paragraph" w:customStyle="1" w:styleId="Podpowiedzsygnatura">
    <w:name w:val="Podpowiedz sygnatura"/>
    <w:basedOn w:val="Podpowied"/>
    <w:next w:val="Adresat"/>
    <w:pPr>
      <w:tabs>
        <w:tab w:val="clear" w:pos="7740"/>
        <w:tab w:val="center" w:pos="1985"/>
      </w:tabs>
      <w:spacing w:after="360"/>
    </w:pPr>
  </w:style>
  <w:style w:type="paragraph" w:customStyle="1" w:styleId="Termin">
    <w:name w:val="Termin"/>
    <w:basedOn w:val="Tre"/>
    <w:pPr>
      <w:tabs>
        <w:tab w:val="left" w:pos="1622"/>
      </w:tabs>
      <w:spacing w:line="240" w:lineRule="auto"/>
    </w:pPr>
    <w:rPr>
      <w:b/>
    </w:rPr>
  </w:style>
  <w:style w:type="paragraph" w:customStyle="1" w:styleId="Skadsdziowski">
    <w:name w:val="Skład sędziowski"/>
    <w:basedOn w:val="Tre"/>
    <w:pPr>
      <w:tabs>
        <w:tab w:val="right" w:pos="1800"/>
      </w:tabs>
      <w:ind w:left="2160" w:hanging="2160"/>
    </w:pPr>
  </w:style>
  <w:style w:type="paragraph" w:styleId="Tekstpodstawowy">
    <w:name w:val="Body Text"/>
    <w:basedOn w:val="Normalny"/>
    <w:link w:val="TekstpodstawowyZnak"/>
    <w:rsid w:val="00046F2E"/>
    <w:pPr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46F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0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wankiewicz\AppData\Local\Temp\TEMP_Sedzia2\120802_Postanowien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120802_Postanowienie.dot</Template>
  <TotalTime>0</TotalTime>
  <Pages>1</Pages>
  <Words>285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SIP</vt:lpstr>
    </vt:vector>
  </TitlesOfParts>
  <Manager>Krzysztof Habowski</Manager>
  <Company>ZETO "Świdnica"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SIP</dc:title>
  <dc:subject/>
  <dc:creator>RI</dc:creator>
  <cp:keywords/>
  <dc:description/>
  <cp:lastModifiedBy>Durakiewicz Urszula</cp:lastModifiedBy>
  <cp:revision>3</cp:revision>
  <cp:lastPrinted>2023-05-05T06:26:00Z</cp:lastPrinted>
  <dcterms:created xsi:type="dcterms:W3CDTF">2023-05-02T12:41:00Z</dcterms:created>
  <dcterms:modified xsi:type="dcterms:W3CDTF">2023-05-05T06:26:00Z</dcterms:modified>
</cp:coreProperties>
</file>