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212BA" w14:textId="36EA0BBB" w:rsidR="008B75B6" w:rsidRDefault="008B75B6" w:rsidP="004345F7">
      <w:pPr>
        <w:spacing w:line="276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bookmarkStart w:id="0" w:name="_GoBack"/>
      <w:bookmarkEnd w:id="0"/>
    </w:p>
    <w:p w14:paraId="49985D74" w14:textId="29307C07" w:rsidR="008B75B6" w:rsidRPr="00FC4624" w:rsidRDefault="008B75B6" w:rsidP="00FC4624">
      <w:pPr>
        <w:spacing w:line="276" w:lineRule="auto"/>
        <w:ind w:left="1416" w:firstLine="708"/>
        <w:jc w:val="both"/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</w:pPr>
      <w:r w:rsidRPr="00FC4624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 xml:space="preserve">CASUS </w:t>
      </w:r>
      <w:r w:rsidR="00FC4624" w:rsidRPr="00FC4624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>Z PRAWA CYWILNEGO</w:t>
      </w:r>
    </w:p>
    <w:p w14:paraId="23B604A0" w14:textId="77777777" w:rsidR="00FC4624" w:rsidRDefault="00FC4624" w:rsidP="008B75B6">
      <w:pPr>
        <w:spacing w:line="276" w:lineRule="auto"/>
        <w:ind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754604FA" w14:textId="411F2466" w:rsidR="008B75B6" w:rsidRPr="008B75B6" w:rsidRDefault="008B75B6" w:rsidP="001D53E5">
      <w:pPr>
        <w:spacing w:line="276" w:lineRule="auto"/>
        <w:ind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8B75B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Na skutek pozwu wniesionego w dniu 20 listopada 2019r., przez „X” spółkę z o.o. w Koszalinie przeciwko Adamowi Ast i Bolesławowi Best  jako wspólnikom spółki cywilnej A. Ast – B. Best Przedsiębiorstwo Handlowe w Koszalinie, referendarz Sądu Rejonowego w Koszalinie, w dniu 25 listopada 2019 r., wydał nakaz zapłaty zasądzający na rzecz ww. spółki od pozwanych solidarnie kwotę 4.000 zł wraz z odsetkami ustawowymi za opóźnienie w transakcjach handlowych od dnia </w:t>
      </w:r>
      <w:r w:rsidR="00DB5204">
        <w:rPr>
          <w:rFonts w:ascii="Arial" w:hAnsi="Arial" w:cs="Arial"/>
          <w:kern w:val="2"/>
          <w:sz w:val="24"/>
          <w:szCs w:val="24"/>
          <w14:ligatures w14:val="standardContextual"/>
        </w:rPr>
        <w:t>10 maja</w:t>
      </w:r>
      <w:r w:rsidRPr="008B75B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2018r. do dnia zapłaty, kwotę 172 zł tytułem rekompensaty kosztów odzyskiwania należności oraz kwotę 917 zł tytułem kosztów procesu wraz z odsetkami ustawowymi za opóźnienie od dnia uprawomocnienia się orzeczenia do dnia zapłaty.  </w:t>
      </w:r>
    </w:p>
    <w:p w14:paraId="1A39E2DC" w14:textId="77777777" w:rsidR="008B75B6" w:rsidRPr="008B75B6" w:rsidRDefault="008B75B6" w:rsidP="008B75B6">
      <w:pPr>
        <w:spacing w:line="276" w:lineRule="auto"/>
        <w:ind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8B75B6">
        <w:rPr>
          <w:rFonts w:ascii="Arial" w:hAnsi="Arial" w:cs="Arial"/>
          <w:kern w:val="2"/>
          <w:sz w:val="24"/>
          <w:szCs w:val="24"/>
          <w14:ligatures w14:val="standardContextual"/>
        </w:rPr>
        <w:t>Nakaz zapłaty uprawomocnił się w dniu 20 grudnia 2019r.</w:t>
      </w:r>
    </w:p>
    <w:p w14:paraId="39C0C519" w14:textId="77777777" w:rsidR="008B75B6" w:rsidRPr="008B75B6" w:rsidRDefault="008B75B6" w:rsidP="008B75B6">
      <w:pPr>
        <w:spacing w:line="276" w:lineRule="auto"/>
        <w:ind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8B75B6">
        <w:rPr>
          <w:rFonts w:ascii="Arial" w:hAnsi="Arial" w:cs="Arial"/>
          <w:kern w:val="2"/>
          <w:sz w:val="24"/>
          <w:szCs w:val="24"/>
          <w14:ligatures w14:val="standardContextual"/>
        </w:rPr>
        <w:t>Dłużnicy nie zapłacili należności objętych ww. nakazem zapłaty. Wierzyciel nie wszczynał przeciwko nim postępowania egzekucyjnego.</w:t>
      </w:r>
    </w:p>
    <w:p w14:paraId="33562C3F" w14:textId="36326105" w:rsidR="008B75B6" w:rsidRPr="008B75B6" w:rsidRDefault="008B75B6" w:rsidP="008B75B6">
      <w:pPr>
        <w:spacing w:line="276" w:lineRule="auto"/>
        <w:ind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8B75B6">
        <w:rPr>
          <w:rFonts w:ascii="Arial" w:hAnsi="Arial" w:cs="Arial"/>
          <w:kern w:val="2"/>
          <w:sz w:val="24"/>
          <w:szCs w:val="24"/>
          <w14:ligatures w14:val="standardContextual"/>
        </w:rPr>
        <w:t>Na wezwanie z dnia 04 stycznia 2023r. do zapłaty należności wynikających z nakazu zapłaty dłużnicy odmówili zapłaty podnosząc, że wszystkie należności objęte nakazem uległy przedawnieniu na podstawie art. 118 k.c., tj. wskutek upływu 3 letniego terminu przedawnienia wierzytelności związanej z prowadzeniem działalności gospodarczej. Dodatkowo wskazali, że wskutek upływu terminu przedawnienia należności głównej (4.000 zł) przedawnieniu uległy wszystkie należności uboczne z nią związane.</w:t>
      </w:r>
    </w:p>
    <w:p w14:paraId="0BEC3067" w14:textId="77777777" w:rsidR="008B75B6" w:rsidRPr="008B75B6" w:rsidRDefault="008B75B6" w:rsidP="008B75B6">
      <w:pPr>
        <w:spacing w:line="276" w:lineRule="auto"/>
        <w:ind w:firstLine="708"/>
        <w:jc w:val="both"/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</w:pPr>
      <w:r w:rsidRPr="008B75B6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>Polecenie:</w:t>
      </w:r>
    </w:p>
    <w:p w14:paraId="7F0985C7" w14:textId="3EBEBBAB" w:rsidR="008B75B6" w:rsidRPr="008B75B6" w:rsidRDefault="00FC4624" w:rsidP="008B75B6">
      <w:pPr>
        <w:spacing w:line="276" w:lineRule="auto"/>
        <w:ind w:firstLine="708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14:ligatures w14:val="standardContextual"/>
        </w:rPr>
        <w:t>Wyodrębnij</w:t>
      </w:r>
      <w:r w:rsidR="008B75B6" w:rsidRPr="008B75B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należności (wierzytelności), które wynikają z omówionego nakazu zapłaty i przyporządkuj   im właściwe terminy przedawnienia oraz daty początkowe biegu terminu przedawnienia i daty końcowe, w których upływa termin przedawnienia. W razie, gdy możliwe są różne warianty odpowiedzi uzasadnij przyjęte rozwiązanie.</w:t>
      </w:r>
    </w:p>
    <w:p w14:paraId="7956873A" w14:textId="77777777" w:rsidR="00530E36" w:rsidRPr="008B75B6" w:rsidRDefault="00530E36" w:rsidP="008B75B6">
      <w:pPr>
        <w:spacing w:line="360" w:lineRule="auto"/>
        <w:rPr>
          <w:rFonts w:ascii="Arial" w:hAnsi="Arial" w:cs="Arial"/>
        </w:rPr>
      </w:pPr>
    </w:p>
    <w:sectPr w:rsidR="00530E36" w:rsidRPr="008B75B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AE6EE" w14:textId="77777777" w:rsidR="001D53E5" w:rsidRDefault="001D53E5" w:rsidP="001D53E5">
      <w:pPr>
        <w:spacing w:after="0" w:line="240" w:lineRule="auto"/>
      </w:pPr>
      <w:r>
        <w:separator/>
      </w:r>
    </w:p>
  </w:endnote>
  <w:endnote w:type="continuationSeparator" w:id="0">
    <w:p w14:paraId="0C2D5EAF" w14:textId="77777777" w:rsidR="001D53E5" w:rsidRDefault="001D53E5" w:rsidP="001D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4315518"/>
      <w:docPartObj>
        <w:docPartGallery w:val="Page Numbers (Bottom of Page)"/>
        <w:docPartUnique/>
      </w:docPartObj>
    </w:sdtPr>
    <w:sdtEndPr/>
    <w:sdtContent>
      <w:p w14:paraId="5C3C3ED3" w14:textId="53906028" w:rsidR="001D53E5" w:rsidRDefault="001D53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5F7">
          <w:rPr>
            <w:noProof/>
          </w:rPr>
          <w:t>1</w:t>
        </w:r>
        <w:r>
          <w:fldChar w:fldCharType="end"/>
        </w:r>
      </w:p>
    </w:sdtContent>
  </w:sdt>
  <w:p w14:paraId="13C564C9" w14:textId="77777777" w:rsidR="001D53E5" w:rsidRDefault="001D53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1312E" w14:textId="77777777" w:rsidR="001D53E5" w:rsidRDefault="001D53E5" w:rsidP="001D53E5">
      <w:pPr>
        <w:spacing w:after="0" w:line="240" w:lineRule="auto"/>
      </w:pPr>
      <w:r>
        <w:separator/>
      </w:r>
    </w:p>
  </w:footnote>
  <w:footnote w:type="continuationSeparator" w:id="0">
    <w:p w14:paraId="79ED4814" w14:textId="77777777" w:rsidR="001D53E5" w:rsidRDefault="001D53E5" w:rsidP="001D53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5B6"/>
    <w:rsid w:val="001D53E5"/>
    <w:rsid w:val="004345F7"/>
    <w:rsid w:val="00530E36"/>
    <w:rsid w:val="00731893"/>
    <w:rsid w:val="008B75B6"/>
    <w:rsid w:val="008D257D"/>
    <w:rsid w:val="00CB3E6B"/>
    <w:rsid w:val="00DB5204"/>
    <w:rsid w:val="00FC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4F8F"/>
  <w15:chartTrackingRefBased/>
  <w15:docId w15:val="{0858F009-087C-4D7D-A53B-26E27593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75B6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5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53E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D5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53E5"/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5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53E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Pietkos</dc:creator>
  <cp:keywords/>
  <dc:description/>
  <cp:lastModifiedBy>Zalewska Barbara</cp:lastModifiedBy>
  <cp:revision>3</cp:revision>
  <cp:lastPrinted>2023-02-09T12:56:00Z</cp:lastPrinted>
  <dcterms:created xsi:type="dcterms:W3CDTF">2026-08-18T11:05:00Z</dcterms:created>
  <dcterms:modified xsi:type="dcterms:W3CDTF">2026-08-18T11:07:00Z</dcterms:modified>
</cp:coreProperties>
</file>