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2DED7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 xml:space="preserve">KONKURS NA </w:t>
      </w:r>
      <w:r>
        <w:rPr>
          <w:rFonts w:ascii="Times New Roman" w:hAnsi="Times New Roman"/>
          <w:b/>
          <w:bCs/>
          <w:sz w:val="28"/>
          <w:szCs w:val="28"/>
        </w:rPr>
        <w:t xml:space="preserve">DWA </w:t>
      </w:r>
      <w:r w:rsidRPr="00E02593">
        <w:rPr>
          <w:rFonts w:ascii="Times New Roman" w:hAnsi="Times New Roman"/>
          <w:b/>
          <w:bCs/>
          <w:sz w:val="28"/>
          <w:szCs w:val="28"/>
        </w:rPr>
        <w:t>STANOWISK</w:t>
      </w:r>
      <w:r>
        <w:rPr>
          <w:rFonts w:ascii="Times New Roman" w:hAnsi="Times New Roman"/>
          <w:b/>
          <w:bCs/>
          <w:sz w:val="28"/>
          <w:szCs w:val="28"/>
        </w:rPr>
        <w:t>A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ASYSTENTA SĘDZIEGO</w:t>
      </w:r>
    </w:p>
    <w:p w14:paraId="1F2BA4EA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W SĄDZIE REJONOWYM W NAKLE NAD NOTECIĄ</w:t>
      </w:r>
    </w:p>
    <w:p w14:paraId="6862716F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24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marca 20</w:t>
      </w:r>
      <w:r>
        <w:rPr>
          <w:rFonts w:ascii="Times New Roman" w:hAnsi="Times New Roman"/>
          <w:b/>
          <w:bCs/>
          <w:sz w:val="28"/>
          <w:szCs w:val="28"/>
        </w:rPr>
        <w:t>25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r.</w:t>
      </w:r>
    </w:p>
    <w:p w14:paraId="23A693A8" w14:textId="77777777" w:rsidR="00BF62BB" w:rsidRPr="00E02593" w:rsidRDefault="00BF62BB" w:rsidP="00BF62BB">
      <w:pPr>
        <w:pStyle w:val="Normalny1"/>
        <w:tabs>
          <w:tab w:val="left" w:pos="222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eastAsia="Times New Roman" w:hAnsi="Times New Roman"/>
          <w:b/>
          <w:bCs/>
          <w:sz w:val="28"/>
          <w:szCs w:val="28"/>
        </w:rPr>
        <w:tab/>
      </w:r>
    </w:p>
    <w:p w14:paraId="487B4FD3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DA1C2A0" w14:textId="77777777" w:rsidR="00EE17F2" w:rsidRDefault="00EE17F2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16F9CBE" w14:textId="77777777" w:rsidR="00EE17F2" w:rsidRDefault="00EE17F2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4A9074A" w14:textId="77777777" w:rsidR="00EE17F2" w:rsidRPr="00E02593" w:rsidRDefault="00EE17F2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DB2298B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E02593">
        <w:rPr>
          <w:rFonts w:ascii="Times New Roman" w:hAnsi="Times New Roman"/>
          <w:b/>
          <w:bCs/>
          <w:sz w:val="24"/>
          <w:szCs w:val="24"/>
          <w:u w:val="single"/>
        </w:rPr>
        <w:t>Pouczenie:</w:t>
      </w:r>
    </w:p>
    <w:p w14:paraId="76F095CE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both"/>
        <w:rPr>
          <w:rFonts w:ascii="Times New Roman" w:eastAsia="Times New Roman" w:hAnsi="Times New Roman"/>
          <w:b/>
          <w:bCs/>
          <w:sz w:val="16"/>
          <w:szCs w:val="16"/>
          <w:u w:val="single"/>
        </w:rPr>
      </w:pPr>
    </w:p>
    <w:p w14:paraId="06AFF7A6" w14:textId="77777777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>1.</w:t>
      </w:r>
      <w:r w:rsidRPr="00E02593">
        <w:rPr>
          <w:rFonts w:ascii="Times New Roman" w:hAnsi="Times New Roman"/>
          <w:b/>
          <w:bCs/>
          <w:sz w:val="24"/>
          <w:szCs w:val="24"/>
        </w:rPr>
        <w:tab/>
        <w:t>Przed przystąpieniem do rozwiązania zestawu pytań testowych należy sprawdzić, czy zawiera on wszystkie kolejno ponumerowane pytania od 1 do 36. W przypadku braku którejkolwiek ze stron, należy o tym niezwłocznie zawiadomić Komisję Kwalifikacyjną;</w:t>
      </w:r>
    </w:p>
    <w:p w14:paraId="27BC5FDE" w14:textId="77777777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>2.  Zestaw pytań testowych składa się z 36 pytań jednokrotnego wyboru, przy czym każde pytanie zawiera po 3 propozycje odpowiedzi. Wybór odpowiedzi polega na zakreśleniu na karcie „X”, „O” jednej z trzech propozycji odpowiedzi w odpowiedniej kolumnie (A albo B, albo C). Prawidłowa jest odpowiedź, która w połączeniu z treścią pytania tworzy – w świetle obowiązującego prawa - zdanie prawdziwe. Na każde pytanie testowe tylko jedna odpowiedź jest prawidłowa. Niedopuszczalne jest dokonywanie dodatkowych założeń, wykraczających poza treść pytania.</w:t>
      </w:r>
    </w:p>
    <w:p w14:paraId="00B682D9" w14:textId="77777777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 xml:space="preserve">3.   </w:t>
      </w:r>
      <w:r w:rsidRPr="00E02593">
        <w:rPr>
          <w:rFonts w:ascii="Times New Roman" w:hAnsi="Times New Roman"/>
          <w:b/>
          <w:bCs/>
          <w:sz w:val="24"/>
          <w:szCs w:val="24"/>
          <w:u w:val="single"/>
        </w:rPr>
        <w:t>Zmiana zakreślonej odpowiedzi jest niedozwolona.;</w:t>
      </w:r>
    </w:p>
    <w:p w14:paraId="74C65EF9" w14:textId="77777777" w:rsidR="00BF62BB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E02593">
        <w:rPr>
          <w:rFonts w:ascii="Times New Roman" w:hAnsi="Times New Roman"/>
          <w:b/>
          <w:bCs/>
          <w:sz w:val="24"/>
          <w:szCs w:val="24"/>
        </w:rPr>
        <w:t>4.   Za każdą prawidłową odpowiedź kandydat otrzymuje 1 punkt. W przypadku zaznaczenia więcej niż jednej odpowiedzi, żadna z odpowiedzi nie podlega zaliczeniu jako prawidłowa.</w:t>
      </w:r>
    </w:p>
    <w:p w14:paraId="793673BC" w14:textId="77777777" w:rsidR="00BF62BB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Część pisemna polega na udzieleniu odpowiedzi na jeden z dwóch wybranych przez kandydata tematów. </w:t>
      </w:r>
    </w:p>
    <w:p w14:paraId="3902F3A6" w14:textId="77777777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  Praca pisemna oceniana jest w skali od 0 do 9 punktów.</w:t>
      </w:r>
    </w:p>
    <w:p w14:paraId="414A06FD" w14:textId="77777777" w:rsidR="00BF62BB" w:rsidRPr="00E02593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.   Prawidłowość odpowiedzi ocenia się według stanu prawnego na dzień </w:t>
      </w:r>
      <w:r>
        <w:rPr>
          <w:rFonts w:ascii="Times New Roman" w:hAnsi="Times New Roman"/>
          <w:b/>
          <w:bCs/>
          <w:sz w:val="24"/>
          <w:szCs w:val="24"/>
        </w:rPr>
        <w:t>24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marca 20</w:t>
      </w:r>
      <w:r>
        <w:rPr>
          <w:rFonts w:ascii="Times New Roman" w:hAnsi="Times New Roman"/>
          <w:b/>
          <w:bCs/>
          <w:sz w:val="24"/>
          <w:szCs w:val="24"/>
        </w:rPr>
        <w:t>25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r.</w:t>
      </w:r>
    </w:p>
    <w:p w14:paraId="4FFAF006" w14:textId="77777777" w:rsidR="00BF62BB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  </w:t>
      </w:r>
      <w:r w:rsidRPr="00E02593">
        <w:rPr>
          <w:rFonts w:ascii="Times New Roman" w:hAnsi="Times New Roman"/>
          <w:b/>
          <w:bCs/>
          <w:sz w:val="24"/>
          <w:szCs w:val="24"/>
        </w:rPr>
        <w:t>Czas na rozwiązanie zestawu pytań testowych wynosi 60</w:t>
      </w:r>
      <w:r>
        <w:rPr>
          <w:rFonts w:ascii="Times New Roman" w:hAnsi="Times New Roman"/>
          <w:b/>
          <w:bCs/>
          <w:sz w:val="24"/>
          <w:szCs w:val="24"/>
        </w:rPr>
        <w:t xml:space="preserve"> minut, czas na sporządzenie pracy pisemnej</w:t>
      </w:r>
      <w:r w:rsidRPr="00E0259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Pr="00E02593">
        <w:rPr>
          <w:rFonts w:ascii="Times New Roman" w:hAnsi="Times New Roman"/>
          <w:b/>
          <w:bCs/>
          <w:sz w:val="24"/>
          <w:szCs w:val="24"/>
        </w:rPr>
        <w:t>30 minut</w:t>
      </w:r>
    </w:p>
    <w:p w14:paraId="68D70765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C439924" w14:textId="77777777" w:rsidR="00BF62BB" w:rsidRDefault="00BF62BB" w:rsidP="00BF62BB">
      <w:pPr>
        <w:pStyle w:val="Normalny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D1B9DA5" w14:textId="77777777" w:rsidR="00BF62BB" w:rsidRDefault="00BF62BB" w:rsidP="00BF62B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0577A" w14:textId="12135B8C" w:rsidR="00EE17F2" w:rsidRDefault="00EE17F2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B997D92" w14:textId="0BF9453B" w:rsidR="00BF62BB" w:rsidRPr="00BF62BB" w:rsidRDefault="00BF62BB" w:rsidP="00BF62B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2BB">
        <w:rPr>
          <w:rFonts w:ascii="Times New Roman" w:hAnsi="Times New Roman" w:cs="Times New Roman"/>
          <w:b/>
          <w:bCs/>
          <w:sz w:val="24"/>
          <w:szCs w:val="24"/>
        </w:rPr>
        <w:lastRenderedPageBreak/>
        <w:t>ZESTAW PYTAŃ TESTOWYCH  Z  PRAWA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CYWILNEGO</w:t>
      </w:r>
    </w:p>
    <w:p w14:paraId="6E3A0026" w14:textId="77777777" w:rsidR="00BF62BB" w:rsidRPr="00E90A31" w:rsidRDefault="00BF62BB" w:rsidP="00BF6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48447D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0A31">
        <w:rPr>
          <w:rFonts w:ascii="Times New Roman" w:hAnsi="Times New Roman" w:cs="Times New Roman"/>
          <w:b/>
          <w:sz w:val="24"/>
          <w:szCs w:val="24"/>
        </w:rPr>
        <w:t xml:space="preserve">1.  Zażalenie na zwrot pozwu: </w:t>
      </w:r>
    </w:p>
    <w:p w14:paraId="787820EF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a) przysługuje do sądu drugiej instancji; </w:t>
      </w:r>
    </w:p>
    <w:p w14:paraId="33947380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b) przysługuje do innego składu sądu pierwszej instancji; </w:t>
      </w:r>
    </w:p>
    <w:p w14:paraId="611FC6F2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c) nie przysługuje</w:t>
      </w:r>
    </w:p>
    <w:p w14:paraId="1B201CC4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FC3F6E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 xml:space="preserve">2. Zgodnie z Kodeksem cywilnym, miejscem zamieszkania osoby fizycznej jest: </w:t>
      </w:r>
    </w:p>
    <w:p w14:paraId="1D1A2998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a) miejsce zameldowania; </w:t>
      </w:r>
    </w:p>
    <w:p w14:paraId="0FBA5C67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b) miejsce faktycznego pobytu; </w:t>
      </w:r>
    </w:p>
    <w:p w14:paraId="7B778706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c) miejscowość, w której osoba ta na stałe przebywa z zamiarem stałego pobytu.</w:t>
      </w:r>
    </w:p>
    <w:p w14:paraId="3383E672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2C613A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 xml:space="preserve">3. Zgodnie z Kodeksem postępowania cywilnego przypozwanym jest: </w:t>
      </w:r>
    </w:p>
    <w:p w14:paraId="4F9AE8A7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a) osoba, względem której stronie będzie przysługiwało roszczenie w razie niekorzystnego dla niej rozstrzygnięcia;</w:t>
      </w:r>
    </w:p>
    <w:p w14:paraId="04DC2ECE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 b) osoba wezwana przez sąd do udziału w sprawie w charakterze pozwanego; </w:t>
      </w:r>
    </w:p>
    <w:p w14:paraId="0DFC4A0A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c) następca prawny pozwanego, który zmarł w toku procesu.</w:t>
      </w:r>
    </w:p>
    <w:p w14:paraId="22B113C3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4FE72B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 xml:space="preserve">4. Zgodnie z Kodeksem postępowania cywilnego, w postępowaniu nieprocesowym nie są rozstrzygane: </w:t>
      </w:r>
    </w:p>
    <w:p w14:paraId="5A6459D3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a) sprawy o podział majątku wspólnego po ustaniu małżeńskiej wspólności ustawowej; </w:t>
      </w:r>
    </w:p>
    <w:p w14:paraId="56D6E192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b) sprawy o ubezwłasnowolnienie; </w:t>
      </w:r>
    </w:p>
    <w:p w14:paraId="0C9889CA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c) sprawy o alimenty.</w:t>
      </w:r>
    </w:p>
    <w:p w14:paraId="52EAC580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3A7A568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 xml:space="preserve">5. Zgodnie z Kodeksem postępowania cywilnego, od kwoty zasądzonej tytułem kosztów procesu: </w:t>
      </w:r>
    </w:p>
    <w:p w14:paraId="21813B75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a) nie należą się odsetki; </w:t>
      </w:r>
    </w:p>
    <w:p w14:paraId="75D2C594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b) należą się odsetki, w wysokości odsetek ustawowych za opóźnienie w spełnieniu świadczenia pieniężnego; </w:t>
      </w:r>
    </w:p>
    <w:p w14:paraId="31F2A2F2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c) należą się odsetki maksymalne</w:t>
      </w:r>
    </w:p>
    <w:p w14:paraId="4461F235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95C25A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>6. Sąd umarza postępowanie zawieszone na podstawie art. 177 § 1 pkt 6 k.p.c., w związku z niewskazaniem przez powoda prawidłowego adresu pozwanego:</w:t>
      </w:r>
    </w:p>
    <w:p w14:paraId="184DF481" w14:textId="77777777" w:rsidR="00BF62BB" w:rsidRPr="00E90A31" w:rsidRDefault="00BF62BB" w:rsidP="00BF62BB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po upływie 3 miesięcy od dnia zawieszenia postępowania z tej przyczyny;</w:t>
      </w:r>
    </w:p>
    <w:p w14:paraId="01A9AB72" w14:textId="77777777" w:rsidR="00BF62BB" w:rsidRPr="00E90A31" w:rsidRDefault="00BF62BB" w:rsidP="00BF62BB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lastRenderedPageBreak/>
        <w:t>po upływie roku od dnia zawieszenia postępowania z tej przyczyny;</w:t>
      </w:r>
    </w:p>
    <w:p w14:paraId="6522D8D4" w14:textId="77777777" w:rsidR="00BF62BB" w:rsidRPr="00E90A31" w:rsidRDefault="00BF62BB" w:rsidP="00BF62BB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po upływie trzech lat od dnia zawieszenia postępowania z tej przyczyny.</w:t>
      </w:r>
    </w:p>
    <w:p w14:paraId="04E52180" w14:textId="77777777" w:rsidR="00BF62BB" w:rsidRPr="00E90A31" w:rsidRDefault="00BF62BB" w:rsidP="00BF62BB">
      <w:pPr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6542DA54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 xml:space="preserve">7. Zgodnie z kodeksem postępowania cywilnego, sąd rozpoznaje sprawy: </w:t>
      </w:r>
    </w:p>
    <w:p w14:paraId="50BEB682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a) wyłącznie w postępowaniu nieprocesowym;</w:t>
      </w:r>
    </w:p>
    <w:p w14:paraId="3F6C8BF1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b) w procesie, chyba że ustawa stanowi inaczej;</w:t>
      </w:r>
    </w:p>
    <w:p w14:paraId="424179E9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c) wyłącznie w procesie.</w:t>
      </w:r>
    </w:p>
    <w:p w14:paraId="64EEC5EB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72BC640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>8. W razie braku zdolności sądowej strony:</w:t>
      </w:r>
    </w:p>
    <w:p w14:paraId="25616516" w14:textId="77777777" w:rsidR="00BF62BB" w:rsidRPr="00E90A31" w:rsidRDefault="00BF62BB" w:rsidP="00BF62B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odrzuca pozew;</w:t>
      </w:r>
    </w:p>
    <w:p w14:paraId="246FBCAF" w14:textId="77777777" w:rsidR="00BF62BB" w:rsidRPr="00E90A31" w:rsidRDefault="00BF62BB" w:rsidP="00BF62BB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zwraca pozew bez wezwania do uzupełnienia braków;</w:t>
      </w:r>
    </w:p>
    <w:p w14:paraId="6DA6482F" w14:textId="77777777" w:rsidR="00BF62BB" w:rsidRPr="00E90A31" w:rsidRDefault="00BF62BB" w:rsidP="00BF62BB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oddala powództwo.</w:t>
      </w:r>
    </w:p>
    <w:p w14:paraId="1F2C1F46" w14:textId="77777777" w:rsidR="00BF62BB" w:rsidRPr="00E90A31" w:rsidRDefault="00BF62BB" w:rsidP="00BF62BB">
      <w:pPr>
        <w:spacing w:after="0" w:line="36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7AB87EFE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>9. W zakresie czynności przewodniczącego w sprawie cywilnej:</w:t>
      </w:r>
    </w:p>
    <w:p w14:paraId="12ECC9D1" w14:textId="77777777" w:rsidR="00BF62BB" w:rsidRPr="00E90A31" w:rsidRDefault="00BF62BB" w:rsidP="00BF62B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zarządzenia może również wydawać asystent sędziego;</w:t>
      </w:r>
    </w:p>
    <w:p w14:paraId="21070E00" w14:textId="77777777" w:rsidR="00BF62BB" w:rsidRPr="00E90A31" w:rsidRDefault="00BF62BB" w:rsidP="00BF62B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zarządzenia może również wydawać asystent sędziego, z wyjątkiem zarządzenia o zwrocie pisma procesowego, w tym pozwu;</w:t>
      </w:r>
    </w:p>
    <w:p w14:paraId="26B0DCE2" w14:textId="77777777" w:rsidR="00BF62BB" w:rsidRPr="00E90A31" w:rsidRDefault="00BF62BB" w:rsidP="00BF62B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zarządzeń nie może wydawać asystent sędziego.</w:t>
      </w:r>
    </w:p>
    <w:p w14:paraId="6A169D7F" w14:textId="77777777" w:rsidR="00BF62BB" w:rsidRPr="00E90A31" w:rsidRDefault="00BF62BB" w:rsidP="00BF62BB">
      <w:pPr>
        <w:spacing w:after="0"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00A4F159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>10. Dla rozpoznania sprawy o przywrócenie naruszonego posiadania:</w:t>
      </w:r>
    </w:p>
    <w:p w14:paraId="52CB9F80" w14:textId="77777777" w:rsidR="00BF62BB" w:rsidRPr="00E90A31" w:rsidRDefault="00BF62BB" w:rsidP="00BF62BB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właściwy jest zawsze sąd rejonowy;</w:t>
      </w:r>
    </w:p>
    <w:p w14:paraId="68B2C5DE" w14:textId="77777777" w:rsidR="00BF62BB" w:rsidRPr="00E90A31" w:rsidRDefault="00BF62BB" w:rsidP="00BF62BB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właściwy jest zawsze sąd okręgowy;</w:t>
      </w:r>
    </w:p>
    <w:p w14:paraId="2D5DCF2F" w14:textId="77777777" w:rsidR="00BF62BB" w:rsidRPr="00E90A31" w:rsidRDefault="00BF62BB" w:rsidP="00BF62BB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właściwy jest sąd rejonowy o ile wartość przedmiotu, którego posiadanie naruszono, nie przekracza 100 000,00 zł.</w:t>
      </w:r>
    </w:p>
    <w:p w14:paraId="02E20962" w14:textId="77777777" w:rsidR="00BF62BB" w:rsidRPr="00E90A31" w:rsidRDefault="00BF62BB" w:rsidP="00BF62BB">
      <w:pPr>
        <w:spacing w:after="0" w:line="36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348E96C5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>11. Jeśli pełnomocnik procesowy powoda będący adwokatem nie dołączy do pozwu pełnomocnictwa procesowego, to przewodniczący podejmie następującą czynność:</w:t>
      </w:r>
    </w:p>
    <w:p w14:paraId="5D3AD6D0" w14:textId="77777777" w:rsidR="00BF62BB" w:rsidRPr="00E90A31" w:rsidRDefault="00BF62BB" w:rsidP="00BF62B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zwróci pozew bez wezwania do usunięcia braku formalnego;</w:t>
      </w:r>
    </w:p>
    <w:p w14:paraId="354FD2D6" w14:textId="77777777" w:rsidR="00BF62BB" w:rsidRPr="00E90A31" w:rsidRDefault="00BF62BB" w:rsidP="00BF62B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wezwie pełnomocnika powoda do usunięcia braku formalnego;</w:t>
      </w:r>
    </w:p>
    <w:p w14:paraId="52583D73" w14:textId="77777777" w:rsidR="00BF62BB" w:rsidRPr="00E90A31" w:rsidRDefault="00BF62BB" w:rsidP="00BF62BB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wezwie powoda do potwierdzenia czynności pełnomocnika.</w:t>
      </w:r>
    </w:p>
    <w:p w14:paraId="1E3A3939" w14:textId="77777777" w:rsidR="00BF62BB" w:rsidRPr="00E90A31" w:rsidRDefault="00BF62BB" w:rsidP="00BF62BB">
      <w:pPr>
        <w:spacing w:after="0" w:line="36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3AB20E62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>12. Bieg przedawnienia przerywa się:</w:t>
      </w:r>
    </w:p>
    <w:p w14:paraId="5BDE94CD" w14:textId="77777777" w:rsidR="00BF62BB" w:rsidRPr="00E90A31" w:rsidRDefault="00BF62BB" w:rsidP="00BF62B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na skutek złożenia przez wierzyciela wniosku o zawezwanie dłużnika do próby ugodowej;</w:t>
      </w:r>
    </w:p>
    <w:p w14:paraId="04FF5617" w14:textId="77777777" w:rsidR="00BF62BB" w:rsidRPr="00E90A31" w:rsidRDefault="00BF62BB" w:rsidP="00BF62B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lastRenderedPageBreak/>
        <w:t>na skutek złożenia przez wierzyciela pozwu, który następnie został prawomocnie zwrócony wskutek nieusunięcia jego braków formalnych;</w:t>
      </w:r>
    </w:p>
    <w:p w14:paraId="52966D1F" w14:textId="77777777" w:rsidR="00BF62BB" w:rsidRPr="00E90A31" w:rsidRDefault="00BF62BB" w:rsidP="00BF62B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na skutek wezwania dłużnika do zapłaty z oznaczeniem terminu.</w:t>
      </w:r>
    </w:p>
    <w:p w14:paraId="6FE52403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4A37A8E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0A31">
        <w:rPr>
          <w:rFonts w:ascii="Times New Roman" w:hAnsi="Times New Roman" w:cs="Times New Roman"/>
          <w:b/>
          <w:sz w:val="24"/>
          <w:szCs w:val="24"/>
        </w:rPr>
        <w:t xml:space="preserve">13. Które z poniższych orzeczeń jest niezaskarżalne: </w:t>
      </w:r>
    </w:p>
    <w:p w14:paraId="4EA16FFA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a) zwrot pozwu; </w:t>
      </w:r>
    </w:p>
    <w:p w14:paraId="2251B438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b) odmowa uzasadnienia orzeczenia;</w:t>
      </w:r>
    </w:p>
    <w:p w14:paraId="337B9F7D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c) podjęcie postępowania w sprawie.</w:t>
      </w:r>
    </w:p>
    <w:p w14:paraId="28A23B67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2CDB2B6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0A31">
        <w:rPr>
          <w:rFonts w:ascii="Times New Roman" w:hAnsi="Times New Roman" w:cs="Times New Roman"/>
          <w:b/>
          <w:sz w:val="24"/>
          <w:szCs w:val="24"/>
        </w:rPr>
        <w:t>14.</w:t>
      </w:r>
      <w:r w:rsidRPr="00E90A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90A31">
        <w:rPr>
          <w:rFonts w:ascii="Times New Roman" w:hAnsi="Times New Roman" w:cs="Times New Roman"/>
          <w:b/>
          <w:sz w:val="24"/>
          <w:szCs w:val="24"/>
        </w:rPr>
        <w:t xml:space="preserve">Które z poniższych orzeczeń referendarza sądowego w postępowaniu cywilnym nie traci mocy w przypadku wniesienia skargi na to orzeczenie: </w:t>
      </w:r>
    </w:p>
    <w:p w14:paraId="584DD738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a) postanowienie w przedmiocie kosztów sądowych; </w:t>
      </w:r>
    </w:p>
    <w:p w14:paraId="3D4656C9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b) postanowienie o zawieszeniu postępowania; </w:t>
      </w:r>
    </w:p>
    <w:p w14:paraId="4E7C35E2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c) postanowienie o umorzeniu postępowania.</w:t>
      </w:r>
    </w:p>
    <w:p w14:paraId="0E2C0947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A6CAB07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0A31">
        <w:rPr>
          <w:rFonts w:ascii="Times New Roman" w:hAnsi="Times New Roman" w:cs="Times New Roman"/>
          <w:b/>
          <w:sz w:val="24"/>
          <w:szCs w:val="24"/>
        </w:rPr>
        <w:t xml:space="preserve">15. Na które z poniższych postanowień Kodeks postępowania cywilnego przewiduje zażalenie do sądu drugiej instancji: </w:t>
      </w:r>
    </w:p>
    <w:p w14:paraId="45EA1B43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a) w przedmiocie rygoru natychmiastowej wykonalności; </w:t>
      </w:r>
    </w:p>
    <w:p w14:paraId="4124AC83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b) w przedmiocie sprostowania orzeczenia; </w:t>
      </w:r>
    </w:p>
    <w:p w14:paraId="36FAE8E5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c) w przedmiocie zabezpieczenia roszczenia.</w:t>
      </w:r>
    </w:p>
    <w:p w14:paraId="52C561B9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42C973" w14:textId="77777777" w:rsidR="00BF62BB" w:rsidRPr="00E90A31" w:rsidRDefault="00BF62BB" w:rsidP="00BF62BB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 xml:space="preserve">Udział małżonka spadkodawcy dziedziczącego w zbiegu z rodzicami spadkodawcy nie może być niższy niż:  </w:t>
      </w:r>
    </w:p>
    <w:p w14:paraId="1237396A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a)</w:t>
      </w:r>
      <w:r w:rsidRPr="00E90A3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90A31">
        <w:rPr>
          <w:rFonts w:ascii="Times New Roman" w:hAnsi="Times New Roman" w:cs="Times New Roman"/>
          <w:bCs/>
          <w:sz w:val="24"/>
          <w:szCs w:val="24"/>
        </w:rPr>
        <w:t xml:space="preserve">1/4 całości spadku, </w:t>
      </w:r>
    </w:p>
    <w:p w14:paraId="6BA25C11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E90A31">
        <w:rPr>
          <w:rFonts w:ascii="Times New Roman" w:hAnsi="Times New Roman" w:cs="Times New Roman"/>
          <w:bCs/>
          <w:sz w:val="24"/>
          <w:szCs w:val="24"/>
        </w:rPr>
        <w:tab/>
        <w:t xml:space="preserve">1/3 całości spadku, </w:t>
      </w:r>
    </w:p>
    <w:p w14:paraId="4EB2D9BB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c) </w:t>
      </w:r>
      <w:r w:rsidRPr="00E90A31">
        <w:rPr>
          <w:rFonts w:ascii="Times New Roman" w:hAnsi="Times New Roman" w:cs="Times New Roman"/>
          <w:bCs/>
          <w:sz w:val="24"/>
          <w:szCs w:val="24"/>
        </w:rPr>
        <w:tab/>
        <w:t>1/2 całości spadku.</w:t>
      </w:r>
    </w:p>
    <w:p w14:paraId="3E57C7F4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89EC07E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</w:rPr>
        <w:t xml:space="preserve">17.Testamentem zwykłym nie jest: </w:t>
      </w:r>
    </w:p>
    <w:p w14:paraId="0D4B8E59" w14:textId="77777777" w:rsidR="00BF62BB" w:rsidRPr="00E90A31" w:rsidRDefault="00BF62BB" w:rsidP="00BF62BB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testament ustny, </w:t>
      </w:r>
    </w:p>
    <w:p w14:paraId="26A0A761" w14:textId="77777777" w:rsidR="00BF62BB" w:rsidRPr="00E90A31" w:rsidRDefault="00BF62BB" w:rsidP="00BF62BB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>testament notarialny,</w:t>
      </w:r>
    </w:p>
    <w:p w14:paraId="7C41ECCE" w14:textId="77777777" w:rsidR="00BF62BB" w:rsidRPr="00E90A31" w:rsidRDefault="00BF62BB" w:rsidP="00BF62BB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90A31">
        <w:rPr>
          <w:rFonts w:ascii="Times New Roman" w:hAnsi="Times New Roman" w:cs="Times New Roman"/>
          <w:bCs/>
          <w:sz w:val="24"/>
          <w:szCs w:val="24"/>
        </w:rPr>
        <w:t xml:space="preserve">testament </w:t>
      </w:r>
      <w:proofErr w:type="spellStart"/>
      <w:r w:rsidRPr="00E90A31">
        <w:rPr>
          <w:rFonts w:ascii="Times New Roman" w:hAnsi="Times New Roman" w:cs="Times New Roman"/>
          <w:bCs/>
          <w:sz w:val="24"/>
          <w:szCs w:val="24"/>
        </w:rPr>
        <w:t>allograficzny</w:t>
      </w:r>
      <w:proofErr w:type="spellEnd"/>
      <w:r w:rsidRPr="00E90A3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826A05D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CE2B746" w14:textId="77777777" w:rsidR="00BF62BB" w:rsidRPr="00E90A31" w:rsidRDefault="00BF62BB" w:rsidP="00BF62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0A31">
        <w:rPr>
          <w:rFonts w:ascii="Times New Roman" w:hAnsi="Times New Roman" w:cs="Times New Roman"/>
          <w:b/>
          <w:sz w:val="24"/>
          <w:szCs w:val="24"/>
        </w:rPr>
        <w:t xml:space="preserve">18. zdolność prawna przysługuje: </w:t>
      </w:r>
    </w:p>
    <w:p w14:paraId="309DC7B5" w14:textId="77777777" w:rsidR="00BF62BB" w:rsidRPr="00E90A31" w:rsidRDefault="00BF62BB" w:rsidP="00BF62BB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Każdemu człowiekowi od dnia uzyskania pełnoletniości</w:t>
      </w:r>
    </w:p>
    <w:p w14:paraId="300324F9" w14:textId="77777777" w:rsidR="00BF62BB" w:rsidRPr="00E90A31" w:rsidRDefault="00BF62BB" w:rsidP="00BF62BB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lastRenderedPageBreak/>
        <w:t>Każdemu człowiekowi od chwili urodzenia</w:t>
      </w:r>
    </w:p>
    <w:p w14:paraId="03AE4378" w14:textId="77777777" w:rsidR="00BF62BB" w:rsidRPr="00E90A31" w:rsidRDefault="00BF62BB" w:rsidP="00BF62BB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Każdemu człowiekowi od dnia ukończenia 13-go roku życia</w:t>
      </w:r>
    </w:p>
    <w:p w14:paraId="4F5F125B" w14:textId="6A848D44" w:rsidR="00EE17F2" w:rsidRDefault="00EE17F2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0492F6" w14:textId="77777777" w:rsidR="00BF62BB" w:rsidRP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62BB">
        <w:rPr>
          <w:rFonts w:ascii="Times New Roman" w:hAnsi="Times New Roman" w:cs="Times New Roman"/>
          <w:b/>
          <w:bCs/>
          <w:sz w:val="24"/>
          <w:szCs w:val="24"/>
        </w:rPr>
        <w:lastRenderedPageBreak/>
        <w:t>ZESTAW PYTAŃ TESTOWYCH  Z  PRAWA KARNEGO  MATERIALNEGO  i  PROCEDURY KARNEJ</w:t>
      </w:r>
    </w:p>
    <w:p w14:paraId="4186C0E8" w14:textId="77777777" w:rsidR="00BF62BB" w:rsidRP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36071" w14:textId="77777777" w:rsidR="00BF62BB" w:rsidRP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B7B8ED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19.  Zgodnie z Kodeksem karnym, jeżeli czyn wyczerpuje znamiona określone w dwóch albo więcej przepisach ustawy karnej:</w:t>
      </w:r>
    </w:p>
    <w:p w14:paraId="123E28D4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 xml:space="preserve">sąd skazuje za jedno przestępstwo na podstawie przepisu przewidującego karę najsurowszą, </w:t>
      </w:r>
    </w:p>
    <w:p w14:paraId="75B1007D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sąd skazuje za jedno przestępstwo na podstawie wszystkich zbiegających się przepisów,</w:t>
      </w:r>
    </w:p>
    <w:p w14:paraId="226CB373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sąd skazuje za dwa lub więcej przestępstw, orzekając karę łączną.</w:t>
      </w:r>
    </w:p>
    <w:p w14:paraId="3F2CF5F4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E46DCE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20.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karnym, nie stanowi przestępstwa:  </w:t>
      </w:r>
    </w:p>
    <w:p w14:paraId="68553B58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czyn zabroniony zagrożony karą pozbawienia wolności do 1 roku</w:t>
      </w:r>
    </w:p>
    <w:p w14:paraId="28D2920F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czyn zabroniony, którego społeczna szkodliwość jest znikoma</w:t>
      </w:r>
    </w:p>
    <w:p w14:paraId="313A234A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oszustwo popełnione na szkodę osoby małoletniej</w:t>
      </w:r>
    </w:p>
    <w:p w14:paraId="1E689F8F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DE3FA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21.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karnym, jeżeli sprawca dopuszcza się czynu zabronionego w usprawiedliwionej nieświadomości jego bezprawności to: </w:t>
      </w:r>
    </w:p>
    <w:p w14:paraId="45DFBC0C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nie popełnia przestępstwa,</w:t>
      </w:r>
    </w:p>
    <w:p w14:paraId="333DE41D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sąd może zastosować nadzwyczajne złagodzenie kary,</w:t>
      </w:r>
    </w:p>
    <w:p w14:paraId="6864F883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 xml:space="preserve">sąd odstępuje od wymierzenia kary.  </w:t>
      </w:r>
    </w:p>
    <w:p w14:paraId="049E9A7A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98E87A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22.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karnym, nie popełnia przestępstwa, kto:</w:t>
      </w:r>
    </w:p>
    <w:p w14:paraId="2C1B65F7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</w:r>
      <w:r w:rsidRPr="00BF62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obronie koniecznej odpiera bezpośredni, bezprawny zamach na jakiekolwiek dobro chronione prawem,</w:t>
      </w: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237FCF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przekracza granice stanu wyższej konieczności,</w:t>
      </w:r>
    </w:p>
    <w:p w14:paraId="16EB0231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 xml:space="preserve">dopuszcza się czynu zabronionego w nieusprawiedliwionej nieświadomości jego bezprawności.  </w:t>
      </w:r>
    </w:p>
    <w:p w14:paraId="50BFCB0C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DD5C81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23.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karnym, jeżeli w czasie orzekania obowiązuje inna ustawa aniżeli w czasie popełnienia przestępstwa:</w:t>
      </w:r>
    </w:p>
    <w:p w14:paraId="0F32B634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 xml:space="preserve">stosuje się zawsze ustawę nową, </w:t>
      </w:r>
    </w:p>
    <w:p w14:paraId="2784AD9A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B.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stosuje się ustawę nową, ale należy stosować ustawę poprzednio obowiązującą, jeżeli jest ona względniejsza dla sprawcy,</w:t>
      </w:r>
    </w:p>
    <w:p w14:paraId="2804B614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stosuje się zawsze ustawę poprzednio obowiązującą.</w:t>
      </w:r>
    </w:p>
    <w:p w14:paraId="57C9DB88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F7C812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24.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karnym, jeżeli skazany, wobec którego orzeczono karę pozbawienia wolności z warunkowym zawieszeniem jej wykonania, w okresie próby rażąco narusza porządek prawny, a w szczególności gdy w tym czasie popełnił przestępstwo:</w:t>
      </w:r>
    </w:p>
    <w:p w14:paraId="3DC3484F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 xml:space="preserve">sąd umarza postępowanie wykonawcze, </w:t>
      </w:r>
    </w:p>
    <w:p w14:paraId="07B9DC97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B. 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 xml:space="preserve">sąd może zarządzić wykonanie kary, </w:t>
      </w:r>
    </w:p>
    <w:p w14:paraId="005030D3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C. 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sąd podejmuje postępowanie wykonawcze</w:t>
      </w:r>
    </w:p>
    <w:p w14:paraId="1F6DC953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D1313F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25.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Na zasadach określonych w Kodeksie karnym odpowiada co do zasady ten:</w:t>
      </w:r>
    </w:p>
    <w:p w14:paraId="615B19AC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kto popełnia czyn zabroniony po ukończeniu 19 lat;</w:t>
      </w:r>
    </w:p>
    <w:p w14:paraId="7EF4C8E0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kto popełnia czyn zabroniony po ukończeniu 21 lat,</w:t>
      </w:r>
    </w:p>
    <w:p w14:paraId="0FCB4113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kto popełnia czyn zabroniony po ukończeniu 17 lat.</w:t>
      </w:r>
    </w:p>
    <w:p w14:paraId="038C2795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D74304" w14:textId="77777777" w:rsidR="00BF62BB" w:rsidRPr="00BF62BB" w:rsidRDefault="00BF62BB" w:rsidP="00EE17F2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26.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karnym, osobą najbliższą nie jest: </w:t>
      </w:r>
    </w:p>
    <w:p w14:paraId="0732B9A9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A.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małżonek osoby pozostającej w stosunku przysposobienia,</w:t>
      </w:r>
    </w:p>
    <w:p w14:paraId="40094DA1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B.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osoba pozostająca we wspólnym pożyciu,</w:t>
      </w:r>
    </w:p>
    <w:p w14:paraId="3FF3ED09" w14:textId="77777777" w:rsidR="00BF62BB" w:rsidRPr="00BF62BB" w:rsidRDefault="00BF62BB" w:rsidP="00EE17F2">
      <w:pPr>
        <w:spacing w:after="0" w:line="360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C.</w:t>
      </w:r>
      <w:r w:rsidRPr="00BF62BB">
        <w:rPr>
          <w:rFonts w:ascii="Times New Roman" w:eastAsia="Calibri" w:hAnsi="Times New Roman" w:cs="Times New Roman"/>
          <w:sz w:val="24"/>
          <w:szCs w:val="24"/>
        </w:rPr>
        <w:tab/>
        <w:t>zstępny rodzeństwa.</w:t>
      </w:r>
    </w:p>
    <w:p w14:paraId="0BD93A0E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94DF03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27.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Zgodnie z Kodeksem postępowania karnego: </w:t>
      </w:r>
    </w:p>
    <w:p w14:paraId="153C4B36" w14:textId="77777777" w:rsidR="00BF62BB" w:rsidRPr="00BF62BB" w:rsidRDefault="00BF62BB" w:rsidP="00BF62BB">
      <w:pPr>
        <w:numPr>
          <w:ilvl w:val="0"/>
          <w:numId w:val="10"/>
        </w:numPr>
        <w:spacing w:after="200" w:line="360" w:lineRule="auto"/>
        <w:ind w:hanging="15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bCs/>
          <w:sz w:val="24"/>
          <w:szCs w:val="24"/>
        </w:rPr>
        <w:t>oskarżony może mieć jednocześnie maksymalnie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1 obrońcę, </w:t>
      </w:r>
    </w:p>
    <w:p w14:paraId="451E1748" w14:textId="77777777" w:rsidR="00BF62BB" w:rsidRPr="00BF62BB" w:rsidRDefault="00BF62BB" w:rsidP="00BF62BB">
      <w:pPr>
        <w:numPr>
          <w:ilvl w:val="0"/>
          <w:numId w:val="10"/>
        </w:numPr>
        <w:spacing w:after="200" w:line="360" w:lineRule="auto"/>
        <w:ind w:hanging="15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oskarżony może mieć jednocześnie maksymalnie 3 obrońców, </w:t>
      </w:r>
    </w:p>
    <w:p w14:paraId="2E6FF5A1" w14:textId="77777777" w:rsidR="00BF62BB" w:rsidRPr="00BF62BB" w:rsidRDefault="00BF62BB" w:rsidP="00BF62BB">
      <w:pPr>
        <w:numPr>
          <w:ilvl w:val="0"/>
          <w:numId w:val="10"/>
        </w:numPr>
        <w:spacing w:after="200" w:line="360" w:lineRule="auto"/>
        <w:ind w:hanging="15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ustawa nie przewiduje w tym zakresie ograniczeń. </w:t>
      </w:r>
    </w:p>
    <w:p w14:paraId="182EFE7A" w14:textId="77777777" w:rsidR="00BF62BB" w:rsidRPr="00BF62BB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7E453C" w14:textId="3BDF24C5" w:rsidR="00BF62BB" w:rsidRPr="00EE17F2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28.  Zgodnie z Kodeksem postępowania karnego, upoważnienie do obrony:</w:t>
      </w:r>
    </w:p>
    <w:p w14:paraId="2432ECC2" w14:textId="77777777" w:rsidR="00BF62BB" w:rsidRPr="00BF62BB" w:rsidRDefault="00BF62BB" w:rsidP="00BF62BB">
      <w:pPr>
        <w:numPr>
          <w:ilvl w:val="0"/>
          <w:numId w:val="18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nie może być udzielone przez oświadczenie do protokołu organu prowadzącego postępowanie karne,</w:t>
      </w:r>
    </w:p>
    <w:p w14:paraId="50B19FC6" w14:textId="77777777" w:rsidR="00BF62BB" w:rsidRPr="00BF62BB" w:rsidRDefault="00BF62BB" w:rsidP="00BF62BB">
      <w:pPr>
        <w:numPr>
          <w:ilvl w:val="0"/>
          <w:numId w:val="18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może być udzielone przez oświadczenie do protokołu organu prowadzącego postępowanie karne,</w:t>
      </w:r>
    </w:p>
    <w:p w14:paraId="494B4BD7" w14:textId="77777777" w:rsidR="00BF62BB" w:rsidRPr="00BF62BB" w:rsidRDefault="00BF62BB" w:rsidP="00BF62BB">
      <w:pPr>
        <w:numPr>
          <w:ilvl w:val="0"/>
          <w:numId w:val="18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lastRenderedPageBreak/>
        <w:t>może być udzielone przez oświadczenie do protokołu organu prowadzącego postępowanie karne wyłącznie w postępowaniu przyspieszonym.</w:t>
      </w:r>
    </w:p>
    <w:p w14:paraId="68A959EF" w14:textId="77777777" w:rsidR="00BF62BB" w:rsidRPr="00BF62BB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EC1611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29.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w postępowaniu zwyczajnym, sporządzenie uzasadnienia postanowienia sądu:</w:t>
      </w:r>
    </w:p>
    <w:p w14:paraId="531767C3" w14:textId="77777777" w:rsidR="00BF62BB" w:rsidRPr="00BF62BB" w:rsidRDefault="00BF62BB" w:rsidP="00BF62BB">
      <w:pPr>
        <w:numPr>
          <w:ilvl w:val="0"/>
          <w:numId w:val="11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w żadnym przypadku nie może być odroczone, </w:t>
      </w:r>
    </w:p>
    <w:p w14:paraId="43F478A9" w14:textId="77777777" w:rsidR="00BF62BB" w:rsidRPr="00BF62BB" w:rsidRDefault="00BF62BB" w:rsidP="00BF62BB">
      <w:pPr>
        <w:numPr>
          <w:ilvl w:val="0"/>
          <w:numId w:val="11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można odroczyć w sprawie zawiłej lub z innych ważnych przyczyn na czas do 7 dni,</w:t>
      </w:r>
    </w:p>
    <w:p w14:paraId="14C5B68D" w14:textId="77777777" w:rsidR="00BF62BB" w:rsidRPr="00BF62BB" w:rsidRDefault="00BF62BB" w:rsidP="00BF62BB">
      <w:pPr>
        <w:numPr>
          <w:ilvl w:val="0"/>
          <w:numId w:val="11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można odroczyć  w każdej sprawie na czas do 14 dni.</w:t>
      </w:r>
    </w:p>
    <w:p w14:paraId="7FF8F9D0" w14:textId="77777777" w:rsidR="00BF62BB" w:rsidRPr="00BF62BB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0D94A26B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30.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przebieg narady i głosowania nad orzeczeniem jest tajny, a zwolnienie od zachowania w tym względzie tajemnicy:</w:t>
      </w:r>
    </w:p>
    <w:p w14:paraId="1A278E1B" w14:textId="77777777" w:rsidR="00BF62BB" w:rsidRPr="00BF62BB" w:rsidRDefault="00BF62BB" w:rsidP="00BF62BB">
      <w:pPr>
        <w:numPr>
          <w:ilvl w:val="0"/>
          <w:numId w:val="1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nie jest dopuszczalne,</w:t>
      </w:r>
    </w:p>
    <w:p w14:paraId="7A83743A" w14:textId="77777777" w:rsidR="00BF62BB" w:rsidRPr="00BF62BB" w:rsidRDefault="00BF62BB" w:rsidP="00BF62BB">
      <w:pPr>
        <w:numPr>
          <w:ilvl w:val="0"/>
          <w:numId w:val="1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jest dopuszczalne za zgodą przewodniczącego składu orzekającego,</w:t>
      </w:r>
    </w:p>
    <w:p w14:paraId="200ECDC8" w14:textId="77777777" w:rsidR="00BF62BB" w:rsidRPr="00BF62BB" w:rsidRDefault="00BF62BB" w:rsidP="00BF62BB">
      <w:pPr>
        <w:numPr>
          <w:ilvl w:val="0"/>
          <w:numId w:val="1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jest dopuszczalne za zgodą sądu.</w:t>
      </w:r>
    </w:p>
    <w:p w14:paraId="72F93D1B" w14:textId="77777777" w:rsidR="00BF62BB" w:rsidRPr="00BF62BB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5EAA31A3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31.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nie odbiera się przyrzeczenia, jeżeli świadek:</w:t>
      </w:r>
    </w:p>
    <w:p w14:paraId="423F2BBB" w14:textId="77777777" w:rsidR="00BF62BB" w:rsidRPr="00BF62BB" w:rsidRDefault="00BF62BB" w:rsidP="00BF62BB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był prawomocnie skazany za wykroczenie,</w:t>
      </w:r>
    </w:p>
    <w:p w14:paraId="0C7D85E5" w14:textId="77777777" w:rsidR="00BF62BB" w:rsidRPr="00BF62BB" w:rsidRDefault="00BF62BB" w:rsidP="00BF62BB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jest funkcjonariuszem publicznym,</w:t>
      </w:r>
    </w:p>
    <w:p w14:paraId="46865751" w14:textId="77777777" w:rsidR="00BF62BB" w:rsidRPr="00BF62BB" w:rsidRDefault="00BF62BB" w:rsidP="00BF62BB">
      <w:pPr>
        <w:numPr>
          <w:ilvl w:val="0"/>
          <w:numId w:val="13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był prawomocnie skazany za fałszywe zeznanie lub oskarżenie</w:t>
      </w:r>
    </w:p>
    <w:p w14:paraId="2AD08FF3" w14:textId="77777777" w:rsidR="00BF62BB" w:rsidRPr="00BF62BB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1E2F28BC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32.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jeżeli tę samą osobę oskarżono o kilka przestępstw, a sprawy należącą do właściwości różnych sądów tego samego rzędu;</w:t>
      </w:r>
    </w:p>
    <w:p w14:paraId="123A6467" w14:textId="77777777" w:rsidR="00BF62BB" w:rsidRPr="00BF62BB" w:rsidRDefault="00BF62BB" w:rsidP="00BF62BB">
      <w:pPr>
        <w:numPr>
          <w:ilvl w:val="0"/>
          <w:numId w:val="14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właściwy sąd wyznacza Sąd Najwyższy,</w:t>
      </w:r>
    </w:p>
    <w:p w14:paraId="652A8E6B" w14:textId="77777777" w:rsidR="00BF62BB" w:rsidRPr="00BF62BB" w:rsidRDefault="00BF62BB" w:rsidP="00BF62BB">
      <w:pPr>
        <w:numPr>
          <w:ilvl w:val="0"/>
          <w:numId w:val="14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właściwy jest sąd, w którego okręgu najpierw wszczęto postępowanie przygotowawcze,</w:t>
      </w:r>
    </w:p>
    <w:p w14:paraId="2CA69842" w14:textId="77777777" w:rsidR="00BF62BB" w:rsidRPr="00BF62BB" w:rsidRDefault="00BF62BB" w:rsidP="00BF62BB">
      <w:pPr>
        <w:numPr>
          <w:ilvl w:val="0"/>
          <w:numId w:val="14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o właściwość sądu decyduje prokurator   </w:t>
      </w:r>
    </w:p>
    <w:p w14:paraId="0E2BD959" w14:textId="77777777" w:rsidR="00BF62BB" w:rsidRPr="00BF62BB" w:rsidRDefault="00BF62BB" w:rsidP="00BF62BB">
      <w:pPr>
        <w:spacing w:after="20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3DD5BE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>33.  Zgodnie z Kodeksem postępowania karnego, jeżeli w toku rozprawy okaże się, że nie wychodząc poza granice oskarżenia można czyn zakwalifikować według innego przepisu prawnego, sąd:</w:t>
      </w:r>
    </w:p>
    <w:p w14:paraId="363DAC85" w14:textId="77777777" w:rsidR="00BF62BB" w:rsidRPr="00BF62BB" w:rsidRDefault="00BF62BB" w:rsidP="00BF62BB">
      <w:pPr>
        <w:numPr>
          <w:ilvl w:val="0"/>
          <w:numId w:val="1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lastRenderedPageBreak/>
        <w:t>zobowiązuje prokuratora do nadesłania w terminie 7 dni nowego aktu oskarżenia, w którym wskazana będzie prawidłowa kwalifikacja prawna,</w:t>
      </w:r>
    </w:p>
    <w:p w14:paraId="771043A1" w14:textId="77777777" w:rsidR="00BF62BB" w:rsidRPr="00BF62BB" w:rsidRDefault="00BF62BB" w:rsidP="00BF62BB">
      <w:pPr>
        <w:numPr>
          <w:ilvl w:val="0"/>
          <w:numId w:val="1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umarza postępowanie z tej przyczyny, chyba że oskarżony wyrazi zgodę na kontynuowanie postępowania,</w:t>
      </w:r>
    </w:p>
    <w:p w14:paraId="45FF651C" w14:textId="77777777" w:rsidR="00BF62BB" w:rsidRPr="00BF62BB" w:rsidRDefault="00BF62BB" w:rsidP="00BF62BB">
      <w:pPr>
        <w:numPr>
          <w:ilvl w:val="0"/>
          <w:numId w:val="17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uprzedza o tym obecne na rozprawie strony</w:t>
      </w:r>
    </w:p>
    <w:p w14:paraId="71D6B31E" w14:textId="77777777" w:rsidR="00BF62BB" w:rsidRPr="00BF62BB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A27ED5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34.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jeżeli spełnione są przesłanki uzasadniające warunkowe umorzenie postępowania, prokurator:</w:t>
      </w:r>
    </w:p>
    <w:p w14:paraId="78E891CF" w14:textId="77777777" w:rsidR="00BF62BB" w:rsidRPr="00BF62BB" w:rsidRDefault="00BF62BB" w:rsidP="00BF62BB">
      <w:pPr>
        <w:numPr>
          <w:ilvl w:val="0"/>
          <w:numId w:val="1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postanowieniem umarza warunkowo postępowanie,</w:t>
      </w:r>
    </w:p>
    <w:p w14:paraId="0D2EA9A3" w14:textId="77777777" w:rsidR="00BF62BB" w:rsidRPr="00BF62BB" w:rsidRDefault="00BF62BB" w:rsidP="00BF62BB">
      <w:pPr>
        <w:numPr>
          <w:ilvl w:val="0"/>
          <w:numId w:val="1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jest zobowiązany umieścić w akcie oskarżenia wniosek o takie umorzenie,</w:t>
      </w:r>
    </w:p>
    <w:p w14:paraId="522E9A5F" w14:textId="77777777" w:rsidR="00BF62BB" w:rsidRPr="00BF62BB" w:rsidRDefault="00BF62BB" w:rsidP="00BF62BB">
      <w:pPr>
        <w:numPr>
          <w:ilvl w:val="0"/>
          <w:numId w:val="1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może zamiast aktu oskarżenia sporządzić i skierować do sądu wniosek o takie umorzenie.</w:t>
      </w:r>
    </w:p>
    <w:p w14:paraId="60E50547" w14:textId="77777777" w:rsidR="00BF62BB" w:rsidRPr="00BF62BB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4D085BAB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35.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rozprawę główną rozpoczyna:</w:t>
      </w:r>
    </w:p>
    <w:p w14:paraId="54B19805" w14:textId="77777777" w:rsidR="00BF62BB" w:rsidRPr="00BF62BB" w:rsidRDefault="00BF62BB" w:rsidP="00BF62BB">
      <w:pPr>
        <w:numPr>
          <w:ilvl w:val="0"/>
          <w:numId w:val="16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wywołanie sprawy,</w:t>
      </w:r>
    </w:p>
    <w:p w14:paraId="3C21DD0C" w14:textId="77777777" w:rsidR="00BF62BB" w:rsidRPr="00BF62BB" w:rsidRDefault="00BF62BB" w:rsidP="00BF62BB">
      <w:pPr>
        <w:numPr>
          <w:ilvl w:val="0"/>
          <w:numId w:val="16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odczytanie aktu oskarżenia,</w:t>
      </w:r>
    </w:p>
    <w:p w14:paraId="7A29D80B" w14:textId="77777777" w:rsidR="00BF62BB" w:rsidRPr="00BF62BB" w:rsidRDefault="00BF62BB" w:rsidP="00BF62BB">
      <w:pPr>
        <w:numPr>
          <w:ilvl w:val="0"/>
          <w:numId w:val="16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zwięzłe przedstawienie przez oskarżyciela zarzutów oskarżenia.</w:t>
      </w:r>
    </w:p>
    <w:p w14:paraId="32521129" w14:textId="77777777" w:rsidR="00BF62BB" w:rsidRPr="00BF62BB" w:rsidRDefault="00BF62BB" w:rsidP="00BF62BB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116932C8" w14:textId="77777777" w:rsidR="00BF62BB" w:rsidRPr="00BF62BB" w:rsidRDefault="00BF62BB" w:rsidP="00BF62BB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62BB">
        <w:rPr>
          <w:rFonts w:ascii="Times New Roman" w:eastAsia="Calibri" w:hAnsi="Times New Roman" w:cs="Times New Roman"/>
          <w:b/>
          <w:sz w:val="24"/>
          <w:szCs w:val="24"/>
        </w:rPr>
        <w:t xml:space="preserve">36. </w:t>
      </w:r>
      <w:r w:rsidRPr="00BF62BB">
        <w:rPr>
          <w:rFonts w:ascii="Times New Roman" w:eastAsia="Calibri" w:hAnsi="Times New Roman" w:cs="Times New Roman"/>
          <w:b/>
          <w:sz w:val="24"/>
          <w:szCs w:val="24"/>
        </w:rPr>
        <w:tab/>
        <w:t>Zgodnie z Kodeksem postępowania karnego, jeżeli akt oskarżenia wniósł oskarżyciel publiczny, pokrzywdzony może złożyć oświadczenie o działaniu w sprawie w charakterze oskarżyciela posiłkowego do momentu:</w:t>
      </w:r>
    </w:p>
    <w:p w14:paraId="0BCDD0D1" w14:textId="77777777" w:rsidR="00BF62BB" w:rsidRPr="00BF62BB" w:rsidRDefault="00BF62BB" w:rsidP="00BF62BB">
      <w:pPr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 rozpoczęcia przewodu sądowego na rozprawie głównej,</w:t>
      </w:r>
    </w:p>
    <w:p w14:paraId="71D09134" w14:textId="77777777" w:rsidR="00BF62BB" w:rsidRPr="00BF62BB" w:rsidRDefault="00BF62BB" w:rsidP="00BF62BB">
      <w:pPr>
        <w:numPr>
          <w:ilvl w:val="0"/>
          <w:numId w:val="19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>zamknięcia przewodu sądowego,</w:t>
      </w:r>
    </w:p>
    <w:p w14:paraId="695F6954" w14:textId="77777777" w:rsidR="00BF62BB" w:rsidRPr="00BF62BB" w:rsidRDefault="00BF62BB" w:rsidP="00BF62BB">
      <w:pPr>
        <w:numPr>
          <w:ilvl w:val="0"/>
          <w:numId w:val="19"/>
        </w:numPr>
        <w:spacing w:after="200" w:line="36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2BB">
        <w:rPr>
          <w:rFonts w:ascii="Times New Roman" w:eastAsia="Calibri" w:hAnsi="Times New Roman" w:cs="Times New Roman"/>
          <w:sz w:val="24"/>
          <w:szCs w:val="24"/>
        </w:rPr>
        <w:t xml:space="preserve">skierowania aktu oskarżenia do sądu. </w:t>
      </w:r>
    </w:p>
    <w:p w14:paraId="0C58BC05" w14:textId="3129758C" w:rsidR="00EF61D3" w:rsidRDefault="00EE17F2">
      <w:pPr>
        <w:spacing w:line="278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sz w:val="24"/>
          <w:szCs w:val="24"/>
          <w:lang w:val="de-DE"/>
        </w:rPr>
        <w:br w:type="page"/>
      </w:r>
    </w:p>
    <w:p w14:paraId="1E8F5361" w14:textId="77777777" w:rsidR="00EF61D3" w:rsidRDefault="00EF61D3">
      <w:pPr>
        <w:spacing w:line="278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sz w:val="24"/>
          <w:szCs w:val="24"/>
          <w:lang w:val="de-DE"/>
        </w:rPr>
        <w:lastRenderedPageBreak/>
        <w:br w:type="page"/>
      </w:r>
    </w:p>
    <w:p w14:paraId="15CFF565" w14:textId="416225DD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lastRenderedPageBreak/>
        <w:t xml:space="preserve">KONKURS NA </w:t>
      </w:r>
      <w:r>
        <w:rPr>
          <w:rFonts w:ascii="Times New Roman" w:hAnsi="Times New Roman"/>
          <w:b/>
          <w:bCs/>
          <w:sz w:val="28"/>
          <w:szCs w:val="28"/>
        </w:rPr>
        <w:t xml:space="preserve">DWA </w:t>
      </w:r>
      <w:r w:rsidRPr="00E02593">
        <w:rPr>
          <w:rFonts w:ascii="Times New Roman" w:hAnsi="Times New Roman"/>
          <w:b/>
          <w:bCs/>
          <w:sz w:val="28"/>
          <w:szCs w:val="28"/>
        </w:rPr>
        <w:t>STANOWISK</w:t>
      </w:r>
      <w:r>
        <w:rPr>
          <w:rFonts w:ascii="Times New Roman" w:hAnsi="Times New Roman"/>
          <w:b/>
          <w:bCs/>
          <w:sz w:val="28"/>
          <w:szCs w:val="28"/>
        </w:rPr>
        <w:t>A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ASYSTENTA SĘDZIEGO</w:t>
      </w:r>
    </w:p>
    <w:p w14:paraId="6605E9F9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02593">
        <w:rPr>
          <w:rFonts w:ascii="Times New Roman" w:hAnsi="Times New Roman"/>
          <w:b/>
          <w:bCs/>
          <w:sz w:val="28"/>
          <w:szCs w:val="28"/>
        </w:rPr>
        <w:t>W SĄDZIE REJONOWYM W NAKLE NAD NOTECIĄ</w:t>
      </w:r>
    </w:p>
    <w:p w14:paraId="0BEDDDD6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24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marca 20</w:t>
      </w:r>
      <w:r>
        <w:rPr>
          <w:rFonts w:ascii="Times New Roman" w:hAnsi="Times New Roman"/>
          <w:b/>
          <w:bCs/>
          <w:sz w:val="28"/>
          <w:szCs w:val="28"/>
        </w:rPr>
        <w:t>25</w:t>
      </w:r>
      <w:r w:rsidRPr="00E02593">
        <w:rPr>
          <w:rFonts w:ascii="Times New Roman" w:hAnsi="Times New Roman"/>
          <w:b/>
          <w:bCs/>
          <w:sz w:val="28"/>
          <w:szCs w:val="28"/>
        </w:rPr>
        <w:t xml:space="preserve"> r.</w:t>
      </w:r>
    </w:p>
    <w:p w14:paraId="3F640F31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A7AA55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PRACA PISEMNA</w:t>
      </w:r>
    </w:p>
    <w:p w14:paraId="473E6F6C" w14:textId="77777777" w:rsidR="00BF62BB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145557B" w14:textId="77777777" w:rsidR="00BF62BB" w:rsidRPr="00E02593" w:rsidRDefault="00BF62BB" w:rsidP="00BF62BB">
      <w:pPr>
        <w:pStyle w:val="Normalny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BED21F5" w14:textId="77777777" w:rsidR="00BF62BB" w:rsidRDefault="00BF62BB" w:rsidP="00BF62BB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14:paraId="733C7869" w14:textId="2779AC88" w:rsidR="00BF62BB" w:rsidRDefault="00BF62BB" w:rsidP="00EE17F2">
      <w:pPr>
        <w:pStyle w:val="Domyln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FD3F71">
        <w:rPr>
          <w:rFonts w:ascii="Times New Roman" w:hAnsi="Times New Roman"/>
          <w:b/>
          <w:sz w:val="24"/>
          <w:szCs w:val="24"/>
        </w:rPr>
        <w:t>Prawo karne</w:t>
      </w:r>
    </w:p>
    <w:p w14:paraId="71E44E20" w14:textId="77777777" w:rsidR="00BF62BB" w:rsidRDefault="00BF62BB" w:rsidP="00EE17F2">
      <w:pPr>
        <w:pStyle w:val="Domylne"/>
        <w:jc w:val="both"/>
        <w:rPr>
          <w:rFonts w:ascii="Times New Roman" w:hAnsi="Times New Roman"/>
          <w:sz w:val="24"/>
          <w:szCs w:val="24"/>
        </w:rPr>
      </w:pPr>
    </w:p>
    <w:p w14:paraId="5E9616BD" w14:textId="77777777" w:rsidR="00BF62BB" w:rsidRDefault="00BF62BB" w:rsidP="00EE17F2">
      <w:pPr>
        <w:pStyle w:val="Domyl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Tomasz B został skazany:</w:t>
      </w:r>
    </w:p>
    <w:p w14:paraId="3EF326E7" w14:textId="77777777" w:rsidR="00BF62BB" w:rsidRDefault="00BF62BB" w:rsidP="00EE17F2">
      <w:pPr>
        <w:pStyle w:val="Domylne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wyrokiem Sądu Rejonowego w Nakle nad Notecią z dnia 6 kwietnia 2024 r. za czyn z art. 178a§1 kk popełniony 2 stycznia 2024 r. na karę 300 stawek dziennych grzywny, przy ustaleniu wysokości jednej stawki na 20 zł.,</w:t>
      </w:r>
    </w:p>
    <w:p w14:paraId="11284862" w14:textId="77777777" w:rsidR="00BF62BB" w:rsidRDefault="00BF62BB" w:rsidP="00EE17F2">
      <w:pPr>
        <w:pStyle w:val="Domylne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wyrokiem Sądu Rejonowego w Szubinie  z dnia 10 czerwca 2024 r. za czyn z art. 244 kk  popełniony w dniu 10 maja 2024 r. na karę 3 miesięcy pozbawienia wolności,</w:t>
      </w:r>
    </w:p>
    <w:p w14:paraId="516D909F" w14:textId="77777777" w:rsidR="00BF62BB" w:rsidRDefault="00BF62BB" w:rsidP="00EE17F2">
      <w:pPr>
        <w:pStyle w:val="Domylne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wyrokiem Sądu Rejonowego w Żninie z dnia 25 sierpnia 2024 r. za czyn z art. 244 kk popełniony 5 maja 2024 r. na karę 5 miesięcy pozbawienia wolności.</w:t>
      </w:r>
    </w:p>
    <w:p w14:paraId="7352065D" w14:textId="77777777" w:rsidR="00BF62BB" w:rsidRDefault="00BF62BB" w:rsidP="00EE17F2">
      <w:pPr>
        <w:pStyle w:val="Domylne"/>
        <w:ind w:left="360"/>
        <w:jc w:val="both"/>
        <w:rPr>
          <w:rFonts w:ascii="Times New Roman" w:hAnsi="Times New Roman"/>
          <w:sz w:val="24"/>
          <w:szCs w:val="24"/>
        </w:rPr>
      </w:pPr>
    </w:p>
    <w:p w14:paraId="1AFD056C" w14:textId="77777777" w:rsidR="00BF62BB" w:rsidRPr="00BF62BB" w:rsidRDefault="00BF62BB" w:rsidP="00EE17F2">
      <w:pPr>
        <w:pStyle w:val="Domylne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F62BB">
        <w:rPr>
          <w:rFonts w:ascii="Times New Roman" w:hAnsi="Times New Roman"/>
          <w:b/>
          <w:bCs/>
          <w:sz w:val="24"/>
          <w:szCs w:val="24"/>
          <w:u w:val="single"/>
        </w:rPr>
        <w:t>Polecenie:</w:t>
      </w:r>
    </w:p>
    <w:p w14:paraId="2CCB1F7D" w14:textId="39375678" w:rsidR="00BF62BB" w:rsidRPr="00A50363" w:rsidRDefault="00BF62BB" w:rsidP="00EE17F2">
      <w:pPr>
        <w:pStyle w:val="Domyl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Czy zachodzą warunki do wydania wyroku łącznego. Jeśli tak, to które z w/w kar podlegają łączeniu, jakiego rodzaju karę łączną można wymierzyć Tomaszowi B i jakich granicach ? Który z Sądów jest właściwy do wydania wyroku łącznego przeciwko Tomaszowi B ?  </w:t>
      </w:r>
    </w:p>
    <w:p w14:paraId="050166E1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F538F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56BF1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B8BA6" w14:textId="01ED03A8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Prawo cywilne</w:t>
      </w:r>
    </w:p>
    <w:p w14:paraId="158937DF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13450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Powódka Katarzyna Sarna zawarła z pozwanym Markiem Wilkiem umowę pożyczki kwoty 50.000 zł. Termin zwrotu pożyczki strony uzgodniły na dzień 31.12.2023 roku. </w:t>
      </w:r>
    </w:p>
    <w:p w14:paraId="16B0B3C9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Marek Wilk nie zwrócił pożyczki do w/w dnia. Wobec czego w lutym 2024 r. Katarzyna Sarna złożyła przeciwko Markowi Wilkowi pozew o zapłatę kwoty 50.000,00 zł do Sądu Rejonowego w Nakle nad Notecią.  </w:t>
      </w:r>
    </w:p>
    <w:p w14:paraId="13EDEDE1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Pozwany stawił się na rozprawę i wnosił o oddalenie powództwa twierdząc, że pieniądze roztrwonił i już ich nie ma, nie może ich zatem zwrócić. </w:t>
      </w:r>
    </w:p>
    <w:p w14:paraId="29CB8BA2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Po rozprawie pozwany zapłacił powódce całą dochodzoną pozwem kwotę.</w:t>
      </w:r>
    </w:p>
    <w:p w14:paraId="00B896DA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Powódka po otrzymaniu zapłaty cofnęła pozew i zrzekła się roszczenia.</w:t>
      </w:r>
    </w:p>
    <w:p w14:paraId="447FEA3C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Powódka poniosła koszty procesu w postaci opłaty od pozwu w wysokości 2.500 zł, </w:t>
      </w:r>
    </w:p>
    <w:p w14:paraId="7A49CCBF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Pozwany ustanowił fachowego pełnomocnika, którego wynagrodzenie wyniosło 3.617 złotych. </w:t>
      </w:r>
    </w:p>
    <w:p w14:paraId="7C40B597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Jakie orzeczenie wyda w tej sytuacji sąd?</w:t>
      </w:r>
    </w:p>
    <w:p w14:paraId="59836BF2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11A21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0A31">
        <w:rPr>
          <w:rFonts w:ascii="Times New Roman" w:hAnsi="Times New Roman" w:cs="Times New Roman"/>
          <w:b/>
          <w:bCs/>
          <w:sz w:val="24"/>
          <w:szCs w:val="24"/>
          <w:u w:val="single"/>
        </w:rPr>
        <w:t>Polecenie:</w:t>
      </w:r>
    </w:p>
    <w:p w14:paraId="6DE41716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Jakie orzeczenie wyda sąd w opisanej sytuacji (forma, treść)? </w:t>
      </w:r>
    </w:p>
    <w:p w14:paraId="6256A28C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 xml:space="preserve">Uwzględnij rozstrzygnięcie w przedmiocie kosztów procesu. </w:t>
      </w:r>
    </w:p>
    <w:p w14:paraId="30A6C2EE" w14:textId="77777777" w:rsidR="00BF62BB" w:rsidRPr="00E90A31" w:rsidRDefault="00BF62BB" w:rsidP="00EE17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31">
        <w:rPr>
          <w:rFonts w:ascii="Times New Roman" w:hAnsi="Times New Roman" w:cs="Times New Roman"/>
          <w:sz w:val="24"/>
          <w:szCs w:val="24"/>
        </w:rPr>
        <w:t>Podaj podstawę prawną rozstrzygnięć.</w:t>
      </w:r>
    </w:p>
    <w:sectPr w:rsidR="00BF62BB" w:rsidRPr="00E90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3991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666E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6739B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823EF"/>
    <w:multiLevelType w:val="hybridMultilevel"/>
    <w:tmpl w:val="2DFA258E"/>
    <w:lvl w:ilvl="0" w:tplc="0F28AD90">
      <w:start w:val="1"/>
      <w:numFmt w:val="lowerLetter"/>
      <w:lvlText w:val="%1)"/>
      <w:lvlJc w:val="left"/>
      <w:pPr>
        <w:ind w:left="360" w:hanging="360"/>
      </w:pPr>
      <w:rPr>
        <w:rFonts w:ascii="Georgia" w:eastAsiaTheme="minorHAnsi" w:hAnsi="Georgia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496AD9"/>
    <w:multiLevelType w:val="hybridMultilevel"/>
    <w:tmpl w:val="568219EA"/>
    <w:lvl w:ilvl="0" w:tplc="A5900324">
      <w:start w:val="1"/>
      <w:numFmt w:val="lowerLetter"/>
      <w:lvlText w:val="%1)"/>
      <w:lvlJc w:val="left"/>
      <w:pPr>
        <w:ind w:left="360" w:hanging="360"/>
      </w:pPr>
      <w:rPr>
        <w:rFonts w:ascii="Georgia" w:eastAsiaTheme="minorHAnsi" w:hAnsi="Georgia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5526A0"/>
    <w:multiLevelType w:val="hybridMultilevel"/>
    <w:tmpl w:val="3B58FF5A"/>
    <w:lvl w:ilvl="0" w:tplc="25A48C5C">
      <w:start w:val="16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453F50D2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6769F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113B7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479F6"/>
    <w:multiLevelType w:val="hybridMultilevel"/>
    <w:tmpl w:val="CAB29D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25C05"/>
    <w:multiLevelType w:val="hybridMultilevel"/>
    <w:tmpl w:val="ADA05448"/>
    <w:lvl w:ilvl="0" w:tplc="0EF2C32A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301523"/>
    <w:multiLevelType w:val="hybridMultilevel"/>
    <w:tmpl w:val="1C3EEC0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2C2ACFE">
      <w:start w:val="1"/>
      <w:numFmt w:val="decimal"/>
      <w:lvlText w:val="%4."/>
      <w:lvlJc w:val="left"/>
      <w:pPr>
        <w:ind w:left="2880" w:hanging="360"/>
      </w:pPr>
      <w:rPr>
        <w:b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33F57"/>
    <w:multiLevelType w:val="hybridMultilevel"/>
    <w:tmpl w:val="8BD299B0"/>
    <w:lvl w:ilvl="0" w:tplc="B1A462D8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E425A9"/>
    <w:multiLevelType w:val="hybridMultilevel"/>
    <w:tmpl w:val="E934F0A0"/>
    <w:lvl w:ilvl="0" w:tplc="1A2C9274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322FA3"/>
    <w:multiLevelType w:val="hybridMultilevel"/>
    <w:tmpl w:val="49F0E48A"/>
    <w:lvl w:ilvl="0" w:tplc="766EE65E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496FEE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701C8"/>
    <w:multiLevelType w:val="hybridMultilevel"/>
    <w:tmpl w:val="82A2F23E"/>
    <w:lvl w:ilvl="0" w:tplc="DCBCA232">
      <w:start w:val="1"/>
      <w:numFmt w:val="lowerLetter"/>
      <w:lvlText w:val="%1)"/>
      <w:lvlJc w:val="left"/>
      <w:pPr>
        <w:ind w:left="360" w:hanging="360"/>
      </w:pPr>
      <w:rPr>
        <w:rFonts w:ascii="Georgia" w:eastAsiaTheme="minorHAnsi" w:hAnsi="Georgia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A3684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E572FEC"/>
    <w:multiLevelType w:val="hybridMultilevel"/>
    <w:tmpl w:val="1F6CD6BE"/>
    <w:lvl w:ilvl="0" w:tplc="DCC89C50">
      <w:start w:val="1"/>
      <w:numFmt w:val="lowerLetter"/>
      <w:lvlText w:val="%1)"/>
      <w:lvlJc w:val="left"/>
      <w:pPr>
        <w:ind w:left="360" w:hanging="360"/>
      </w:pPr>
      <w:rPr>
        <w:rFonts w:ascii="Georgia" w:eastAsiaTheme="minorHAnsi" w:hAnsi="Georgia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C748D5"/>
    <w:multiLevelType w:val="hybridMultilevel"/>
    <w:tmpl w:val="B6DECFE8"/>
    <w:lvl w:ilvl="0" w:tplc="A32A1CF6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7543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9462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32033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41135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88081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8527445">
    <w:abstractNumId w:val="5"/>
  </w:num>
  <w:num w:numId="7" w16cid:durableId="1497921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35512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4737600">
    <w:abstractNumId w:val="16"/>
  </w:num>
  <w:num w:numId="10" w16cid:durableId="10426361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68275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933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45499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37048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17126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54500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5400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066852">
    <w:abstractNumId w:val="19"/>
  </w:num>
  <w:num w:numId="19" w16cid:durableId="909198104">
    <w:abstractNumId w:val="17"/>
  </w:num>
  <w:num w:numId="20" w16cid:durableId="1141071841">
    <w:abstractNumId w:val="9"/>
  </w:num>
  <w:num w:numId="21" w16cid:durableId="131531596">
    <w:abstractNumId w:val="11"/>
  </w:num>
  <w:num w:numId="22" w16cid:durableId="58087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59"/>
    <w:rsid w:val="001D2159"/>
    <w:rsid w:val="00261C0A"/>
    <w:rsid w:val="005D537C"/>
    <w:rsid w:val="009B36A9"/>
    <w:rsid w:val="00BF62BB"/>
    <w:rsid w:val="00C10B74"/>
    <w:rsid w:val="00C30275"/>
    <w:rsid w:val="00EE17F2"/>
    <w:rsid w:val="00E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48754"/>
  <w15:chartTrackingRefBased/>
  <w15:docId w15:val="{2DED62DA-9EC1-442B-B8F4-4ADBFEAD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62BB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2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2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2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2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2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2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2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2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2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2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2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2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21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21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21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1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1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1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2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2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2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2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2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21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21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21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2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1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2159"/>
    <w:rPr>
      <w:b/>
      <w:bCs/>
      <w:smallCaps/>
      <w:color w:val="0F4761" w:themeColor="accent1" w:themeShade="BF"/>
      <w:spacing w:val="5"/>
    </w:rPr>
  </w:style>
  <w:style w:type="paragraph" w:customStyle="1" w:styleId="Normalny1">
    <w:name w:val="Normalny1"/>
    <w:autoRedefine/>
    <w:rsid w:val="00BF62BB"/>
    <w:pP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lang w:eastAsia="pl-PL"/>
      <w14:ligatures w14:val="none"/>
    </w:rPr>
  </w:style>
  <w:style w:type="paragraph" w:customStyle="1" w:styleId="Domylne">
    <w:name w:val="Domyślne"/>
    <w:rsid w:val="00BF62BB"/>
    <w:pPr>
      <w:spacing w:after="0" w:line="240" w:lineRule="auto"/>
    </w:pPr>
    <w:rPr>
      <w:rFonts w:ascii="Helvetica" w:eastAsia="Arial Unicode MS" w:hAnsi="Arial Unicode MS" w:cs="Arial Unicode MS"/>
      <w:color w:val="000000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1885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Ciołek Magdalena</dc:creator>
  <cp:keywords/>
  <dc:description/>
  <cp:lastModifiedBy>Ciołek Magdalena</cp:lastModifiedBy>
  <cp:revision>2</cp:revision>
  <cp:lastPrinted>2025-03-21T11:12:00Z</cp:lastPrinted>
  <dcterms:created xsi:type="dcterms:W3CDTF">2026-08-18T08:40:00Z</dcterms:created>
  <dcterms:modified xsi:type="dcterms:W3CDTF">2026-08-18T08:40:00Z</dcterms:modified>
</cp:coreProperties>
</file>