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20648" w14:textId="77777777" w:rsidR="002E7B24" w:rsidRDefault="002E7B24">
      <w:pPr>
        <w:shd w:val="clear" w:color="auto" w:fill="FFFFFF"/>
        <w:spacing w:line="276" w:lineRule="auto"/>
        <w:jc w:val="both"/>
        <w:rPr>
          <w:rFonts w:ascii="Georgia" w:hAnsi="Georgia"/>
          <w:b/>
          <w:bCs/>
          <w:color w:val="000000"/>
        </w:rPr>
      </w:pPr>
    </w:p>
    <w:p w14:paraId="5FC7CD33" w14:textId="77777777" w:rsidR="002E7B24" w:rsidRDefault="002B5224">
      <w:pPr>
        <w:shd w:val="clear" w:color="auto" w:fill="FFFFFF"/>
        <w:spacing w:line="276" w:lineRule="auto"/>
        <w:jc w:val="both"/>
      </w:pPr>
      <w:r>
        <w:rPr>
          <w:rFonts w:ascii="Georgia" w:hAnsi="Georgia"/>
          <w:b/>
          <w:bCs/>
          <w:color w:val="000000"/>
          <w:sz w:val="18"/>
        </w:rPr>
        <w:t>Tabela odpowiedzi na pytania testowe</w:t>
      </w:r>
      <w:r>
        <w:rPr>
          <w:rStyle w:val="Zakotwiczenieprzypisudolnego"/>
          <w:rFonts w:ascii="Georgia" w:hAnsi="Georgia"/>
          <w:b/>
          <w:bCs/>
          <w:color w:val="000000"/>
          <w:sz w:val="18"/>
        </w:rPr>
        <w:footnoteReference w:id="1"/>
      </w:r>
    </w:p>
    <w:tbl>
      <w:tblPr>
        <w:tblW w:w="701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429"/>
        <w:gridCol w:w="778"/>
        <w:gridCol w:w="779"/>
        <w:gridCol w:w="778"/>
        <w:gridCol w:w="1774"/>
        <w:gridCol w:w="1240"/>
        <w:gridCol w:w="236"/>
      </w:tblGrid>
      <w:tr w:rsidR="006F7039" w14:paraId="6CA127D5" w14:textId="77777777" w:rsidTr="006F7039">
        <w:trPr>
          <w:trHeight w:val="55"/>
        </w:trPr>
        <w:tc>
          <w:tcPr>
            <w:tcW w:w="1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7FD97" w14:textId="77777777" w:rsidR="006F7039" w:rsidRDefault="006F7039">
            <w:pPr>
              <w:widowControl w:val="0"/>
              <w:snapToGrid w:val="0"/>
              <w:spacing w:line="276" w:lineRule="auto"/>
              <w:jc w:val="both"/>
            </w:pPr>
          </w:p>
        </w:tc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83817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A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C809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B</w:t>
            </w:r>
          </w:p>
        </w:tc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E814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C</w:t>
            </w:r>
          </w:p>
        </w:tc>
        <w:tc>
          <w:tcPr>
            <w:tcW w:w="1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6DD3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28AB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Kolumna kontrolna</w:t>
            </w:r>
          </w:p>
        </w:tc>
      </w:tr>
      <w:tr w:rsidR="006F7039" w14:paraId="23B331D7" w14:textId="77777777" w:rsidTr="006F7039">
        <w:trPr>
          <w:trHeight w:val="72"/>
        </w:trPr>
        <w:tc>
          <w:tcPr>
            <w:tcW w:w="1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218E7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23FF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BDB4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87E7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10A0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9F2FA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sz w:val="16"/>
                <w:szCs w:val="16"/>
              </w:rPr>
            </w:pPr>
            <w:r>
              <w:rPr>
                <w:rFonts w:ascii="Georgia" w:hAnsi="Georgia"/>
                <w:b/>
                <w:bCs/>
                <w:color w:val="000000"/>
                <w:sz w:val="16"/>
                <w:szCs w:val="16"/>
              </w:rPr>
              <w:t>Odpowiedź poprawna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B2B27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sz w:val="16"/>
                <w:szCs w:val="16"/>
              </w:rPr>
            </w:pPr>
          </w:p>
        </w:tc>
      </w:tr>
      <w:tr w:rsidR="006F7039" w14:paraId="181856B7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BC13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F8EEF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B0C4A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345D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2304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73CE9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86D5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0B91707D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35A5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E57E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E58A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B2F7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13CB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26E6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1406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4FC670C4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52B8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4864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04BA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2204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3C06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93B3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2446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6622FABF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0F12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4.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F8EB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251B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536CA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71B47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E5B3F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F3B4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36B8CC2F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A624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5.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A19E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0D5B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4823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CB07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B4B8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E5D9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57BB3834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E039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6.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D5E0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CEAAA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3578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894D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39F3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5B3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23FC64A5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7F9F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7.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D086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7BCBF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0ABC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9F7C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417E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543F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1F7AA0AE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DD9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8.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AC6E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DEFC6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466EF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315C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70B46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834B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292EA38F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2EB0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9.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F781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F9AB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F68C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0F84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10146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AB997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05E5F40C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5664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10.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1E75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4F94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CF31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1EED7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4567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6F5F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0507D849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02D8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11.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E69B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B09C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388F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73C1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84B3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969A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0FC099D8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1121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12.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0686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51318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5A4D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5DFE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BC037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9DE4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0BD58CD3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A9D5A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13.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37FA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4951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76287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D6C1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8300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6700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7AFDBCC1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835E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14.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96C3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9266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37F6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9B9B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73C7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8541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0F36D50D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F3B3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15.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0683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A7306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B88BF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CFB5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3E65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8836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19E02414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80F4A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16.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F733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4871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00D9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18D1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F4CA7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C889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71276904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4E157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17.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5AAC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5B53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6C54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7B186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238F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0736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1AAB64C2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4A66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18.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FAEA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D221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111D1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D378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78E4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9598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2A4FFE05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5377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19.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E045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A0A6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CCD4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C8DEF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DBE3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6831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018E688C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0D88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20.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FEDF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9E42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3169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610F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6327F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BE64A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48364F22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D772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21.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1317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48CA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4F9BA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C6FC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9D74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577E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58225E39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6A03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22.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E630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9209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3102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C6FD6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B448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FC196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35A9CD22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59C8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23.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2CF7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EF68F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5810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F74F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7DC6F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075F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63A6D1CC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F73B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24.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7B9B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D0AE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752A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EE1A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318A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5DB3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39CB38FD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B67A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25.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39A9A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EDD3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A3817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64666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79B0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2816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139B8D72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6235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26.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5B95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4DD96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56AD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78D9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FED6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2E1C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21AE49C7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E0A3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27.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A6B2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D46C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02B9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DC8A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7AB9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DF85F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69ECFBFF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1150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28.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0C78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131D9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2453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0FAA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C6507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CBCA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6F9DF958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C567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29.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E754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6721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3F73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CA9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467C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F341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41DBD072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39E8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30.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4865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1A7E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2C73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3A19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BB02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3AF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254C4F4A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8754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31.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87A7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FE8C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0D156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BAD5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5456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3AEF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7D165B88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A92A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32.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85F5E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F5F3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447B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6E0D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C35E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DAA2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00861AA4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272C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33.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A3E9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0223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C648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48BF6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A24F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93EA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21635E8B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8A40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34.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8641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4FF18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AFC0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28A40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E909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ECF4C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68A0D461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EBC5B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35.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CE24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26589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E102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B21F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280E2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71F84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  <w:tr w:rsidR="006F7039" w14:paraId="70CE727D" w14:textId="77777777" w:rsidTr="006F7039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08DB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  <w:r>
              <w:rPr>
                <w:rFonts w:ascii="Georgia" w:hAnsi="Georgia"/>
                <w:b/>
                <w:bCs/>
                <w:color w:val="000000"/>
                <w:sz w:val="18"/>
              </w:rPr>
              <w:t>36.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A7935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8AF4F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A475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657A3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CE041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407DD" w14:textId="77777777" w:rsidR="006F7039" w:rsidRDefault="006F7039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</w:rPr>
            </w:pPr>
          </w:p>
        </w:tc>
      </w:tr>
    </w:tbl>
    <w:p w14:paraId="3B0B1102" w14:textId="77777777" w:rsidR="002E7B24" w:rsidRDefault="002B5224">
      <w:pPr>
        <w:shd w:val="clear" w:color="auto" w:fill="FFFFFF"/>
        <w:spacing w:line="276" w:lineRule="auto"/>
        <w:ind w:left="360"/>
        <w:jc w:val="both"/>
      </w:pPr>
      <w:r>
        <w:tab/>
      </w:r>
      <w:r>
        <w:tab/>
      </w:r>
      <w:r>
        <w:tab/>
      </w:r>
      <w:r>
        <w:tab/>
      </w:r>
    </w:p>
    <w:p w14:paraId="32984D46" w14:textId="77777777" w:rsidR="002E7B24" w:rsidRDefault="002B5224">
      <w:pPr>
        <w:shd w:val="clear" w:color="auto" w:fill="FFFFFF"/>
        <w:spacing w:line="276" w:lineRule="auto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Łącznie prawidłowych odpowiedzi:…………….</w:t>
      </w:r>
    </w:p>
    <w:p w14:paraId="17D93E37" w14:textId="77777777" w:rsidR="002E7B24" w:rsidRDefault="002E7B24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  <w:sz w:val="22"/>
          <w:szCs w:val="22"/>
        </w:rPr>
      </w:pPr>
    </w:p>
    <w:tbl>
      <w:tblPr>
        <w:tblW w:w="9127" w:type="dxa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4651"/>
      </w:tblGrid>
      <w:tr w:rsidR="002E7B24" w14:paraId="6DBFDA2D" w14:textId="77777777">
        <w:trPr>
          <w:trHeight w:val="508"/>
        </w:trPr>
        <w:tc>
          <w:tcPr>
            <w:tcW w:w="9126" w:type="dxa"/>
            <w:gridSpan w:val="2"/>
          </w:tcPr>
          <w:p w14:paraId="043477E9" w14:textId="77777777" w:rsidR="002E7B24" w:rsidRDefault="002B5224">
            <w:pPr>
              <w:pStyle w:val="Zawartotabeli"/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Tabela punktacji</w:t>
            </w:r>
          </w:p>
          <w:p w14:paraId="6BE8D466" w14:textId="77777777" w:rsidR="002E7B24" w:rsidRDefault="002E7B24">
            <w:pPr>
              <w:pStyle w:val="Zawartotabeli"/>
              <w:widowControl w:val="0"/>
              <w:jc w:val="center"/>
              <w:rPr>
                <w:b/>
                <w:bCs/>
              </w:rPr>
            </w:pPr>
          </w:p>
          <w:p w14:paraId="5E293414" w14:textId="77777777" w:rsidR="002E7B24" w:rsidRDefault="002E7B24">
            <w:pPr>
              <w:pStyle w:val="Zawartotabeli"/>
              <w:widowControl w:val="0"/>
              <w:jc w:val="center"/>
              <w:rPr>
                <w:b/>
                <w:bCs/>
              </w:rPr>
            </w:pPr>
          </w:p>
        </w:tc>
      </w:tr>
      <w:tr w:rsidR="002E7B24" w14:paraId="6799539D" w14:textId="77777777">
        <w:trPr>
          <w:trHeight w:val="668"/>
        </w:trPr>
        <w:tc>
          <w:tcPr>
            <w:tcW w:w="4476" w:type="dxa"/>
          </w:tcPr>
          <w:p w14:paraId="7421D44D" w14:textId="77777777" w:rsidR="002E7B24" w:rsidRDefault="002B5224">
            <w:pPr>
              <w:pStyle w:val="Zawartotabeli"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Rodzaj pracy: </w:t>
            </w:r>
          </w:p>
        </w:tc>
        <w:tc>
          <w:tcPr>
            <w:tcW w:w="4650" w:type="dxa"/>
          </w:tcPr>
          <w:p w14:paraId="50DA73CD" w14:textId="77777777" w:rsidR="002E7B24" w:rsidRDefault="002B5224">
            <w:pPr>
              <w:pStyle w:val="Zawartotabeli"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Ilość punktów:</w:t>
            </w:r>
          </w:p>
        </w:tc>
      </w:tr>
      <w:tr w:rsidR="002E7B24" w14:paraId="41B5875A" w14:textId="77777777">
        <w:trPr>
          <w:trHeight w:val="834"/>
        </w:trPr>
        <w:tc>
          <w:tcPr>
            <w:tcW w:w="4476" w:type="dxa"/>
          </w:tcPr>
          <w:p w14:paraId="0029AD91" w14:textId="77777777" w:rsidR="002E7B24" w:rsidRDefault="002B5224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rPr>
                <w:rFonts w:ascii="Georgia" w:hAnsi="Georgia"/>
                <w:sz w:val="22"/>
                <w:szCs w:val="22"/>
              </w:rPr>
              <w:t>Test:</w:t>
            </w:r>
          </w:p>
        </w:tc>
        <w:tc>
          <w:tcPr>
            <w:tcW w:w="4650" w:type="dxa"/>
          </w:tcPr>
          <w:p w14:paraId="59F44CFF" w14:textId="77777777" w:rsidR="002E7B24" w:rsidRDefault="002E7B24">
            <w:pPr>
              <w:pStyle w:val="Zawartotabeli"/>
              <w:widowControl w:val="0"/>
            </w:pPr>
          </w:p>
          <w:p w14:paraId="0C3AAAC2" w14:textId="77777777" w:rsidR="002E7B24" w:rsidRDefault="002B5224">
            <w:pPr>
              <w:pStyle w:val="Zawartotabeli"/>
              <w:widowControl w:val="0"/>
            </w:pPr>
            <w:r>
              <w:t>…………..</w:t>
            </w:r>
          </w:p>
        </w:tc>
      </w:tr>
      <w:tr w:rsidR="002E7B24" w14:paraId="0E794373" w14:textId="77777777">
        <w:trPr>
          <w:trHeight w:val="1372"/>
        </w:trPr>
        <w:tc>
          <w:tcPr>
            <w:tcW w:w="4476" w:type="dxa"/>
          </w:tcPr>
          <w:p w14:paraId="6C166E58" w14:textId="77777777" w:rsidR="002E7B24" w:rsidRDefault="002E7B24">
            <w:pPr>
              <w:widowControl w:val="0"/>
              <w:shd w:val="clear" w:color="auto" w:fill="FFFFFF"/>
              <w:spacing w:line="276" w:lineRule="auto"/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33942054" w14:textId="77777777" w:rsidR="002E7B24" w:rsidRDefault="002B5224">
            <w:pPr>
              <w:widowControl w:val="0"/>
              <w:shd w:val="clear" w:color="auto" w:fill="FFFFFF"/>
              <w:spacing w:line="276" w:lineRule="auto"/>
              <w:jc w:val="both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 xml:space="preserve">                                                                              </w:t>
            </w:r>
          </w:p>
          <w:p w14:paraId="54A901D1" w14:textId="77777777" w:rsidR="002E7B24" w:rsidRDefault="002B5224">
            <w:pPr>
              <w:pStyle w:val="Zawartotabeli"/>
              <w:widowControl w:val="0"/>
            </w:pPr>
            <w:r>
              <w:t xml:space="preserve">Praca pisemna z prawa karnego                          </w:t>
            </w:r>
          </w:p>
        </w:tc>
        <w:tc>
          <w:tcPr>
            <w:tcW w:w="4650" w:type="dxa"/>
          </w:tcPr>
          <w:p w14:paraId="72B79DD1" w14:textId="77777777" w:rsidR="002E7B24" w:rsidRDefault="002B5224">
            <w:pPr>
              <w:pStyle w:val="Zawartotabeli"/>
              <w:widowControl w:val="0"/>
            </w:pPr>
            <w:r>
              <w:t xml:space="preserve">  </w:t>
            </w:r>
          </w:p>
          <w:p w14:paraId="092E548A" w14:textId="77777777" w:rsidR="002E7B24" w:rsidRDefault="002E7B24">
            <w:pPr>
              <w:pStyle w:val="Zawartotabeli"/>
              <w:widowControl w:val="0"/>
            </w:pPr>
          </w:p>
          <w:p w14:paraId="516DDE1D" w14:textId="77777777" w:rsidR="002E7B24" w:rsidRDefault="002E7B24">
            <w:pPr>
              <w:pStyle w:val="Zawartotabeli"/>
              <w:widowControl w:val="0"/>
            </w:pPr>
          </w:p>
          <w:p w14:paraId="7EEEF046" w14:textId="77777777" w:rsidR="002E7B24" w:rsidRDefault="002B5224">
            <w:pPr>
              <w:pStyle w:val="Zawartotabeli"/>
              <w:widowControl w:val="0"/>
            </w:pPr>
            <w:r>
              <w:t>………….</w:t>
            </w:r>
          </w:p>
          <w:p w14:paraId="2F84A34B" w14:textId="77777777" w:rsidR="002E7B24" w:rsidRDefault="002E7B24">
            <w:pPr>
              <w:pStyle w:val="Zawartotabeli"/>
              <w:widowControl w:val="0"/>
            </w:pPr>
          </w:p>
        </w:tc>
      </w:tr>
      <w:tr w:rsidR="002E7B24" w14:paraId="1FE8B310" w14:textId="77777777">
        <w:trPr>
          <w:trHeight w:val="1655"/>
        </w:trPr>
        <w:tc>
          <w:tcPr>
            <w:tcW w:w="4476" w:type="dxa"/>
          </w:tcPr>
          <w:p w14:paraId="5D1D4607" w14:textId="77777777" w:rsidR="002E7B24" w:rsidRDefault="002E7B24">
            <w:pPr>
              <w:pStyle w:val="Zawartotabeli"/>
              <w:widowControl w:val="0"/>
            </w:pPr>
          </w:p>
          <w:p w14:paraId="47145DAC" w14:textId="77777777" w:rsidR="002E7B24" w:rsidRDefault="002E7B24">
            <w:pPr>
              <w:pStyle w:val="Zawartotabeli"/>
              <w:widowControl w:val="0"/>
            </w:pPr>
          </w:p>
          <w:p w14:paraId="735A753C" w14:textId="77777777" w:rsidR="002E7B24" w:rsidRDefault="002E7B24">
            <w:pPr>
              <w:pStyle w:val="Zawartotabeli"/>
              <w:widowControl w:val="0"/>
            </w:pPr>
          </w:p>
          <w:p w14:paraId="70507242" w14:textId="77777777" w:rsidR="002E7B24" w:rsidRDefault="002B5224">
            <w:pPr>
              <w:pStyle w:val="Zawartotabeli"/>
              <w:widowControl w:val="0"/>
            </w:pPr>
            <w:r>
              <w:t xml:space="preserve">Praca pisemna z prawa cywilnego </w:t>
            </w:r>
          </w:p>
        </w:tc>
        <w:tc>
          <w:tcPr>
            <w:tcW w:w="4650" w:type="dxa"/>
          </w:tcPr>
          <w:p w14:paraId="593C4ABB" w14:textId="77777777" w:rsidR="002E7B24" w:rsidRDefault="002E7B24">
            <w:pPr>
              <w:pStyle w:val="Zawartotabeli"/>
              <w:widowControl w:val="0"/>
              <w:spacing w:line="360" w:lineRule="auto"/>
            </w:pPr>
          </w:p>
          <w:p w14:paraId="790BD267" w14:textId="77777777" w:rsidR="002E7B24" w:rsidRDefault="002E7B24">
            <w:pPr>
              <w:pStyle w:val="Zawartotabeli"/>
              <w:widowControl w:val="0"/>
              <w:spacing w:line="360" w:lineRule="auto"/>
            </w:pPr>
          </w:p>
          <w:p w14:paraId="5593BDE4" w14:textId="77777777" w:rsidR="002E7B24" w:rsidRDefault="002B5224">
            <w:pPr>
              <w:pStyle w:val="Zawartotabeli"/>
              <w:widowControl w:val="0"/>
              <w:spacing w:line="360" w:lineRule="auto"/>
            </w:pPr>
            <w:r>
              <w:t>………….</w:t>
            </w:r>
          </w:p>
        </w:tc>
      </w:tr>
      <w:tr w:rsidR="002E7B24" w14:paraId="1A86D3E6" w14:textId="77777777">
        <w:trPr>
          <w:trHeight w:val="1180"/>
        </w:trPr>
        <w:tc>
          <w:tcPr>
            <w:tcW w:w="4476" w:type="dxa"/>
          </w:tcPr>
          <w:p w14:paraId="3D2A417B" w14:textId="77777777" w:rsidR="002E7B24" w:rsidRDefault="002E7B24">
            <w:pPr>
              <w:pStyle w:val="Zawartotabeli"/>
              <w:widowControl w:val="0"/>
            </w:pPr>
          </w:p>
          <w:p w14:paraId="191EEF44" w14:textId="77777777" w:rsidR="002E7B24" w:rsidRDefault="002E7B24">
            <w:pPr>
              <w:pStyle w:val="Zawartotabeli"/>
              <w:widowControl w:val="0"/>
            </w:pPr>
          </w:p>
          <w:p w14:paraId="52CDC68A" w14:textId="77777777" w:rsidR="002E7B24" w:rsidRDefault="002B5224">
            <w:pPr>
              <w:pStyle w:val="Zawartotabeli"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Łączna ilość punktów:</w:t>
            </w:r>
          </w:p>
        </w:tc>
        <w:tc>
          <w:tcPr>
            <w:tcW w:w="4650" w:type="dxa"/>
          </w:tcPr>
          <w:p w14:paraId="3B4676DF" w14:textId="77777777" w:rsidR="002E7B24" w:rsidRDefault="002E7B24">
            <w:pPr>
              <w:pStyle w:val="Zawartotabeli"/>
              <w:widowControl w:val="0"/>
              <w:spacing w:line="360" w:lineRule="auto"/>
            </w:pPr>
          </w:p>
          <w:p w14:paraId="194B2194" w14:textId="77777777" w:rsidR="002E7B24" w:rsidRDefault="002E7B24">
            <w:pPr>
              <w:pStyle w:val="Zawartotabeli"/>
              <w:widowControl w:val="0"/>
              <w:spacing w:line="360" w:lineRule="auto"/>
            </w:pPr>
          </w:p>
          <w:p w14:paraId="7253F910" w14:textId="77777777" w:rsidR="002E7B24" w:rsidRDefault="002B5224">
            <w:pPr>
              <w:pStyle w:val="Zawartotabeli"/>
              <w:widowControl w:val="0"/>
              <w:spacing w:line="360" w:lineRule="auto"/>
            </w:pPr>
            <w:r>
              <w:t>…………..</w:t>
            </w:r>
          </w:p>
        </w:tc>
      </w:tr>
    </w:tbl>
    <w:p w14:paraId="417BE669" w14:textId="77777777" w:rsidR="002E7B24" w:rsidRDefault="002E7B24">
      <w:pPr>
        <w:shd w:val="clear" w:color="auto" w:fill="FFFFFF"/>
        <w:spacing w:line="276" w:lineRule="auto"/>
        <w:ind w:left="2487" w:firstLine="349"/>
        <w:jc w:val="both"/>
      </w:pPr>
    </w:p>
    <w:p w14:paraId="49432B67" w14:textId="77777777" w:rsidR="002E7B24" w:rsidRDefault="002B5224">
      <w:pPr>
        <w:shd w:val="clear" w:color="auto" w:fill="FFFFFF"/>
        <w:spacing w:line="276" w:lineRule="auto"/>
        <w:ind w:left="2487" w:firstLine="349"/>
        <w:jc w:val="both"/>
      </w:pPr>
      <w:r>
        <w:tab/>
      </w:r>
    </w:p>
    <w:p w14:paraId="30E4DF6B" w14:textId="77777777" w:rsidR="002E7B24" w:rsidRDefault="002E7B24">
      <w:pPr>
        <w:shd w:val="clear" w:color="auto" w:fill="FFFFFF"/>
        <w:spacing w:line="276" w:lineRule="auto"/>
        <w:ind w:left="2487" w:firstLine="349"/>
        <w:jc w:val="both"/>
      </w:pPr>
    </w:p>
    <w:p w14:paraId="2076AD41" w14:textId="77777777" w:rsidR="00816C44" w:rsidRDefault="00816C44">
      <w:pPr>
        <w:shd w:val="clear" w:color="auto" w:fill="FFFFFF"/>
        <w:spacing w:line="276" w:lineRule="auto"/>
        <w:jc w:val="both"/>
      </w:pPr>
    </w:p>
    <w:p w14:paraId="78427F3A" w14:textId="77777777" w:rsidR="00816C44" w:rsidRDefault="00816C44">
      <w:pPr>
        <w:shd w:val="clear" w:color="auto" w:fill="FFFFFF"/>
        <w:spacing w:line="276" w:lineRule="auto"/>
        <w:jc w:val="both"/>
      </w:pPr>
    </w:p>
    <w:p w14:paraId="575BCCE8" w14:textId="03E16092" w:rsidR="002E7B24" w:rsidRDefault="002B5224">
      <w:pPr>
        <w:shd w:val="clear" w:color="auto" w:fill="FFFFFF"/>
        <w:spacing w:line="276" w:lineRule="auto"/>
        <w:jc w:val="both"/>
      </w:pPr>
      <w:r>
        <w:t xml:space="preserve">Podpisy co najmniej dwóch członków Komisji    </w:t>
      </w:r>
    </w:p>
    <w:p w14:paraId="77D0D398" w14:textId="77777777" w:rsidR="002E7B24" w:rsidRDefault="002E7B24">
      <w:pPr>
        <w:shd w:val="clear" w:color="auto" w:fill="FFFFFF"/>
        <w:spacing w:line="276" w:lineRule="auto"/>
        <w:jc w:val="both"/>
      </w:pPr>
    </w:p>
    <w:p w14:paraId="21525CF7" w14:textId="77777777" w:rsidR="002E7B24" w:rsidRDefault="002B5224">
      <w:pPr>
        <w:shd w:val="clear" w:color="auto" w:fill="FFFFFF"/>
        <w:spacing w:line="276" w:lineRule="auto"/>
        <w:ind w:left="4254" w:firstLine="709"/>
        <w:jc w:val="both"/>
      </w:pPr>
      <w:r>
        <w:t>……………………………….</w:t>
      </w:r>
    </w:p>
    <w:p w14:paraId="6FC53530" w14:textId="77777777" w:rsidR="002E7B24" w:rsidRDefault="002E7B24">
      <w:pPr>
        <w:shd w:val="clear" w:color="auto" w:fill="FFFFFF"/>
        <w:spacing w:line="276" w:lineRule="auto"/>
        <w:jc w:val="both"/>
      </w:pPr>
    </w:p>
    <w:p w14:paraId="7B965AE2" w14:textId="77777777" w:rsidR="002E7B24" w:rsidRDefault="002E7B24">
      <w:pPr>
        <w:shd w:val="clear" w:color="auto" w:fill="FFFFFF"/>
        <w:spacing w:line="276" w:lineRule="auto"/>
        <w:jc w:val="both"/>
      </w:pPr>
    </w:p>
    <w:p w14:paraId="52299865" w14:textId="77777777" w:rsidR="002E7B24" w:rsidRDefault="002B5224">
      <w:pPr>
        <w:shd w:val="clear" w:color="auto" w:fill="FFFFFF"/>
        <w:spacing w:line="276" w:lineRule="auto"/>
        <w:ind w:left="4254" w:firstLine="709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…………………………………………..</w:t>
      </w:r>
      <w:r>
        <w:br w:type="page"/>
      </w:r>
    </w:p>
    <w:p w14:paraId="20C8441E" w14:textId="77777777" w:rsidR="002E7B24" w:rsidRDefault="002B5224">
      <w:pPr>
        <w:shd w:val="clear" w:color="auto" w:fill="FFFFFF"/>
        <w:spacing w:line="276" w:lineRule="auto"/>
        <w:ind w:left="360"/>
        <w:jc w:val="both"/>
        <w:rPr>
          <w:rFonts w:ascii="Georgia" w:hAnsi="Georgia"/>
        </w:rPr>
      </w:pPr>
      <w:r>
        <w:lastRenderedPageBreak/>
        <w:br w:type="page"/>
      </w:r>
    </w:p>
    <w:p w14:paraId="3DE9FC2E" w14:textId="77777777" w:rsidR="002E7B24" w:rsidRDefault="002B5224">
      <w:pPr>
        <w:shd w:val="clear" w:color="auto" w:fill="FFFFFF"/>
        <w:spacing w:before="57" w:after="57" w:line="360" w:lineRule="auto"/>
        <w:ind w:left="360"/>
        <w:jc w:val="both"/>
        <w:rPr>
          <w:b/>
          <w:bCs/>
        </w:rPr>
      </w:pPr>
      <w:r>
        <w:rPr>
          <w:rFonts w:ascii="Georgia" w:hAnsi="Georgia"/>
          <w:b/>
          <w:bCs/>
        </w:rPr>
        <w:lastRenderedPageBreak/>
        <w:t>Pytania testowe</w:t>
      </w:r>
    </w:p>
    <w:p w14:paraId="547C3CE9" w14:textId="77777777" w:rsidR="002E7B24" w:rsidRDefault="002E7B24">
      <w:pPr>
        <w:shd w:val="clear" w:color="auto" w:fill="FFFFFF"/>
        <w:spacing w:before="57" w:after="57" w:line="360" w:lineRule="auto"/>
        <w:ind w:left="360"/>
        <w:jc w:val="both"/>
        <w:rPr>
          <w:rFonts w:ascii="Georgia" w:hAnsi="Georgia"/>
        </w:rPr>
      </w:pPr>
    </w:p>
    <w:p w14:paraId="3D39AC6F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Kodeks cywilny reguluje: </w:t>
      </w:r>
    </w:p>
    <w:p w14:paraId="6898E67A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tylko stosunki cywilnoprawne między osobami fizycznymi i osobami prawnymi;</w:t>
      </w:r>
    </w:p>
    <w:p w14:paraId="4CCED373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b) stosunki cywilnoprawne między osobami 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fizycznymi i osobami prawnymi, a także stosunki administracyjnoprawne, gdy podlegają rozpoznaniu według ustawy Kodeks postępowania cywilnego;</w:t>
      </w:r>
    </w:p>
    <w:p w14:paraId="3592C9A8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wszelkie stosunki między osobami fizycznymi, spółkami cywilnymi i osobami prawnymi.</w:t>
      </w:r>
    </w:p>
    <w:p w14:paraId="5B4EF491" w14:textId="77777777" w:rsidR="002E7B24" w:rsidRDefault="002E7B24">
      <w:pPr>
        <w:spacing w:before="57" w:after="57" w:line="360" w:lineRule="auto"/>
        <w:ind w:left="720"/>
        <w:jc w:val="both"/>
        <w:rPr>
          <w:rFonts w:ascii="Georgia" w:hAnsi="Georgia"/>
        </w:rPr>
      </w:pPr>
    </w:p>
    <w:p w14:paraId="7F0943E6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Kodeksem cywilny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m, osobami prawnymi są:</w:t>
      </w:r>
    </w:p>
    <w:p w14:paraId="217EDDF8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tylko Skarb Państwa i jednostki organizacyjne, którym przepisy szczególne przyznają osobowość prawną;</w:t>
      </w:r>
    </w:p>
    <w:p w14:paraId="1B16400C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spółki prawa handlowego, spółki cywilne, Skarb Państwa i jednostki organizacyjne, którym przepisy szczególne przyznają osobo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wość prawną;</w:t>
      </w:r>
    </w:p>
    <w:p w14:paraId="3FA3D4BE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tylko jednostki organizacyjne, którym przepisy szczególne przyznają osobowość prawną.</w:t>
      </w:r>
    </w:p>
    <w:p w14:paraId="0B254256" w14:textId="77777777" w:rsidR="002E7B24" w:rsidRDefault="002E7B24">
      <w:pPr>
        <w:pStyle w:val="Akapitzlist"/>
        <w:spacing w:before="57" w:after="57" w:line="360" w:lineRule="auto"/>
        <w:jc w:val="both"/>
        <w:rPr>
          <w:rFonts w:cs="Noto Serif"/>
          <w:color w:val="333333"/>
          <w:shd w:val="clear" w:color="auto" w:fill="FFFFFF"/>
        </w:rPr>
      </w:pPr>
    </w:p>
    <w:p w14:paraId="2F6E9165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art. 42 Kodeksu cywilnego - jeżeli osoba prawna nie może być reprezentowana lub prowadzić swoich spraw ze względu na brak organu albo brak w sk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ładzie organu uprawnionego do jej reprezentowania, sąd ustanawia dla niej: </w:t>
      </w:r>
    </w:p>
    <w:p w14:paraId="3FCC935A" w14:textId="77777777" w:rsidR="002E7B24" w:rsidRDefault="002B5224">
      <w:pPr>
        <w:pStyle w:val="Akapitzlist"/>
        <w:spacing w:before="57" w:after="57" w:line="360" w:lineRule="auto"/>
        <w:jc w:val="both"/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opiekuna,</w:t>
      </w:r>
    </w:p>
    <w:p w14:paraId="263DBE5C" w14:textId="77777777" w:rsidR="002E7B24" w:rsidRDefault="002B5224">
      <w:pPr>
        <w:pStyle w:val="Akapitzlist"/>
        <w:spacing w:before="57" w:after="57" w:line="360" w:lineRule="auto"/>
        <w:jc w:val="both"/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b) kuratora, </w:t>
      </w:r>
    </w:p>
    <w:p w14:paraId="29BCA105" w14:textId="77777777" w:rsidR="002E7B24" w:rsidRDefault="002B5224">
      <w:pPr>
        <w:pStyle w:val="Akapitzlist"/>
        <w:spacing w:before="57" w:after="57" w:line="360" w:lineRule="auto"/>
        <w:jc w:val="both"/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c) pełnomocnika. </w:t>
      </w:r>
    </w:p>
    <w:p w14:paraId="447A0F3D" w14:textId="77777777" w:rsidR="002E7B24" w:rsidRDefault="002E7B24">
      <w:pPr>
        <w:pStyle w:val="Akapitzlist"/>
        <w:spacing w:before="57" w:after="57" w:line="360" w:lineRule="auto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</w:p>
    <w:p w14:paraId="19A76982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kodeksem cywilnym, przedsiębiorcą jest:</w:t>
      </w:r>
    </w:p>
    <w:p w14:paraId="46876B9B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lastRenderedPageBreak/>
        <w:t xml:space="preserve">a) tylko osoba fizyczna  prowadząca we własnym imieniu działalność 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gospodarczą lub zawodową;</w:t>
      </w:r>
    </w:p>
    <w:p w14:paraId="5437E8CE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 osoba fizyczna i osoba prawna, prowadząca we własnym imieniu działalność gospodarczą;</w:t>
      </w:r>
    </w:p>
    <w:p w14:paraId="7FEB1C52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osoba fizyczna, osoba prawna i jednostka organizacyjna, o której mowa w art. 33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  <w:vertAlign w:val="superscript"/>
        </w:rPr>
        <w:t>1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 § 1 Kodeksu cywilnego, prowadząca we własnym imieniu dzi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ałalność gospodarczą lub zawodową.</w:t>
      </w:r>
    </w:p>
    <w:p w14:paraId="79AA6ECC" w14:textId="77777777" w:rsidR="002E7B24" w:rsidRDefault="002E7B24">
      <w:pPr>
        <w:spacing w:before="57" w:after="57"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1A696F70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Kodeksem cywilnym, o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świadczenie woli, które ma być złożone innej osobie, jest złożone z chwilą, gdy:</w:t>
      </w:r>
    </w:p>
    <w:p w14:paraId="59E4E1BF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doszło do niej;</w:t>
      </w:r>
    </w:p>
    <w:p w14:paraId="3CB52FDB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b) 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 doszło do niej w taki sposób, że mogła zapoznać się z jego treścią;</w:t>
      </w:r>
    </w:p>
    <w:p w14:paraId="0DF9CBBD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c) 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składający oświadczenie otrzymał potwierdzenie o możliwości zapoznania się odbiorcy z jego treścią.</w:t>
      </w:r>
    </w:p>
    <w:p w14:paraId="4309C9B5" w14:textId="77777777" w:rsidR="002E7B24" w:rsidRDefault="002E7B24">
      <w:pPr>
        <w:pStyle w:val="Akapitzlist"/>
        <w:spacing w:before="57" w:after="57" w:line="360" w:lineRule="auto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</w:p>
    <w:p w14:paraId="698BF97F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Zgodnie z Kodeksem cywilnym, uchylenie się od skutków prawnych oświadczenia woli, które zostało złożone innej osobie pod wpływem błędu lub groźby, 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następuje przez:</w:t>
      </w:r>
    </w:p>
    <w:p w14:paraId="39EF67AF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oświadczenie złożone tej osobie na piśmie;</w:t>
      </w:r>
    </w:p>
    <w:p w14:paraId="306989A7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oświadczenie woli  wyrażone przez każde zachowanie się tej osoby, które ujawnia jej wolę w sposób dostateczny;</w:t>
      </w:r>
    </w:p>
    <w:p w14:paraId="5BD2A6C8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udowodnienie, że błąd lub groźba mogły stanowić poważne niebezpieczeństwo os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obiste lub majątkowe.</w:t>
      </w:r>
    </w:p>
    <w:p w14:paraId="3B551BB3" w14:textId="77777777" w:rsidR="002E7B24" w:rsidRDefault="002E7B24">
      <w:pPr>
        <w:spacing w:before="57" w:after="57"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4B148216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Kodeksem cywilnym, bieg przedawnienia co do roszczeń objętych wnioskiem o zawezwanie do próby ugodowej:</w:t>
      </w:r>
    </w:p>
    <w:p w14:paraId="6CCF5A95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nie rozpoczyna się, a rozpoczęty ulega zawieszeniu - przez czas trwania postępowania pojednawczego;</w:t>
      </w:r>
    </w:p>
    <w:p w14:paraId="69D3091A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lastRenderedPageBreak/>
        <w:t>b) przerywa się;</w:t>
      </w:r>
    </w:p>
    <w:p w14:paraId="601117C4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złożenie wniosku o zawezwanie do próby ugodowej nie ma wpływu na bieg przedawnienia.</w:t>
      </w:r>
    </w:p>
    <w:p w14:paraId="0AC99492" w14:textId="77777777" w:rsidR="002E7B24" w:rsidRDefault="002E7B24">
      <w:pPr>
        <w:spacing w:before="57" w:after="57"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72555AC3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Kodeksem cywilnym, w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ierzyciel może żądać osobistego świadczenia dłużnika:</w:t>
      </w:r>
    </w:p>
    <w:p w14:paraId="4F87CDBF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bCs/>
          <w:color w:val="333333"/>
          <w:sz w:val="24"/>
          <w:szCs w:val="24"/>
          <w:shd w:val="clear" w:color="auto" w:fill="FFFFFF"/>
        </w:rPr>
        <w:t>a) zawsze;</w:t>
      </w:r>
    </w:p>
    <w:p w14:paraId="27ECE93C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bCs/>
          <w:color w:val="333333"/>
          <w:sz w:val="24"/>
          <w:szCs w:val="24"/>
          <w:shd w:val="clear" w:color="auto" w:fill="FFFFFF"/>
        </w:rPr>
        <w:t xml:space="preserve">b) tylko wtedy, gdy to wynika z treści czynności prawnej, z </w:t>
      </w:r>
      <w:r>
        <w:rPr>
          <w:rFonts w:ascii="Georgia" w:hAnsi="Georgia" w:cs="Noto Serif"/>
          <w:bCs/>
          <w:color w:val="333333"/>
          <w:sz w:val="24"/>
          <w:szCs w:val="24"/>
          <w:shd w:val="clear" w:color="auto" w:fill="FFFFFF"/>
        </w:rPr>
        <w:t>ustawy albo z właściwości świadczenia;</w:t>
      </w:r>
    </w:p>
    <w:p w14:paraId="46BC7C43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bCs/>
          <w:color w:val="333333"/>
          <w:sz w:val="24"/>
          <w:szCs w:val="24"/>
          <w:shd w:val="clear" w:color="auto" w:fill="FFFFFF"/>
        </w:rPr>
        <w:t xml:space="preserve">c) tylko wtedy, gdy wynika to z ustawy. </w:t>
      </w:r>
    </w:p>
    <w:p w14:paraId="47F7EB88" w14:textId="77777777" w:rsidR="002E7B24" w:rsidRDefault="002E7B24">
      <w:pPr>
        <w:spacing w:before="57" w:after="57"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0D13AE68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Kodeksem cywilnym, jeżeli dłużnik opóźnia się ze spełnieniem świadczenia pieniężnego, wierzyciel może żądać odsetek za czas opóźnienia:</w:t>
      </w:r>
    </w:p>
    <w:p w14:paraId="471671C5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a) chociażby opóźnienie było 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następstwem okoliczności, za które dłużnik odpowiedzialności nie ponosi o ile wierzyciel poniósł szkodę;</w:t>
      </w:r>
    </w:p>
    <w:p w14:paraId="43176FED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chociażby nie poniósł żadnej szkody i chociażby opóźnienie było następstwem okoliczności, za które dłużnik odpowiedzialności nie ponosi;</w:t>
      </w:r>
    </w:p>
    <w:p w14:paraId="752DBD5F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c) tylko w 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przypadku, gdy wierzyciel poniósł szkodę i opóźnienie było następstwem okoliczności, za które dłużnik ponosi odpowiedzialność.</w:t>
      </w:r>
    </w:p>
    <w:p w14:paraId="76C6E363" w14:textId="77777777" w:rsidR="002E7B24" w:rsidRDefault="002E7B24">
      <w:pPr>
        <w:spacing w:before="57" w:after="57"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470E5329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ind w:left="737" w:hanging="454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Kodeksem postępowania cywilnego - strony i uczestnicy postępowania obowiązani są dokonywać czynności procesowych:</w:t>
      </w:r>
    </w:p>
    <w:p w14:paraId="0B993206" w14:textId="77777777" w:rsidR="002E7B24" w:rsidRDefault="002E7B24">
      <w:pPr>
        <w:pStyle w:val="Akapitzlist"/>
        <w:spacing w:before="57" w:after="57" w:line="360" w:lineRule="auto"/>
        <w:jc w:val="both"/>
        <w:rPr>
          <w:rFonts w:cs="Noto Serif"/>
          <w:color w:val="333333"/>
          <w:shd w:val="clear" w:color="auto" w:fill="FFFFFF"/>
        </w:rPr>
      </w:pPr>
    </w:p>
    <w:p w14:paraId="0F20D9C3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zgodnie z dobrymi obyczajami, dawać wyjaśnienia co do okoliczności sprawy zgodnie z prawdą i bez zatajania czegokolwiek oraz przedstawiać dowody;</w:t>
      </w:r>
    </w:p>
    <w:p w14:paraId="7A4ECF8C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lastRenderedPageBreak/>
        <w:t xml:space="preserve">b) zgodnie z dobrymi obyczajami, przedstawiać dowody w zakresie korzystnym dla nich oraz dawać twierdzenia 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zgodne z prawdą, jednakże nie muszą przedstawiać twierdzeń niekorzystnych dla nich;</w:t>
      </w:r>
    </w:p>
    <w:p w14:paraId="3C7D3987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według własnego uznania, byleby ich treść lub cel nie sprzeciwiały się ustawie ani zasadom współżycia społecznego.</w:t>
      </w:r>
    </w:p>
    <w:p w14:paraId="2B14B9B3" w14:textId="77777777" w:rsidR="002E7B24" w:rsidRDefault="002E7B24">
      <w:pPr>
        <w:spacing w:before="57" w:after="57"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5524D0B5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ind w:left="737" w:hanging="397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Kodeksem postępowania cywilnego, do właściw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ości sądów okręgowych należą sprawy:</w:t>
      </w:r>
    </w:p>
    <w:p w14:paraId="006790F1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o prawa majątkowe, w których wartość przedmiotu sporu przewyższa pięćdziesiąt tysięcy złotych, oprócz spraw o alimenty, o naruszenie posiadania, o ustanowienie rozdzielności majątkowej między małżonkami oraz spraw ro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zpoznawanych w elektronicznym postępowaniu upominawczym;</w:t>
      </w:r>
    </w:p>
    <w:p w14:paraId="20301138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o prawa majątkowe, w których wartość przedmiotu sporu przewyższa siedemdziesiąt pięć tysięcy złotych, oprócz spraw o alimenty, o naruszenie posiadania, o ustanowienie rozdzielności majątkowej międ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zy małżonkami oraz spraw rozpoznawanych w elektronicznym postępowaniu upominawczym;</w:t>
      </w:r>
    </w:p>
    <w:p w14:paraId="6F115680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o prawa majątkowe, w których wartość przedmiotu sporu przewyższa sto tysięcy złotych, oprócz spraw o alimenty, o naruszenie posiadania, o ustanowienie rozdzielności mają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tkowej między małżonkami oraz spraw rozpoznawanych w elektronicznym postępowaniu upominawczym.</w:t>
      </w:r>
    </w:p>
    <w:p w14:paraId="07306DD4" w14:textId="77777777" w:rsidR="002E7B24" w:rsidRDefault="002E7B24">
      <w:pPr>
        <w:pStyle w:val="Akapitzlist"/>
        <w:spacing w:before="57" w:after="57" w:line="360" w:lineRule="auto"/>
        <w:ind w:left="1080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</w:p>
    <w:p w14:paraId="67F22545" w14:textId="77777777" w:rsidR="002E7B24" w:rsidRDefault="002B5224">
      <w:pPr>
        <w:numPr>
          <w:ilvl w:val="0"/>
          <w:numId w:val="1"/>
        </w:numPr>
        <w:spacing w:before="57" w:after="57" w:line="360" w:lineRule="auto"/>
        <w:ind w:left="737" w:hanging="397"/>
        <w:jc w:val="both"/>
        <w:rPr>
          <w:rFonts w:ascii="Georgia" w:hAnsi="Georgia"/>
          <w:b/>
          <w:bCs/>
        </w:rPr>
      </w:pPr>
      <w:r>
        <w:rPr>
          <w:rFonts w:ascii="Georgia" w:hAnsi="Georgia" w:cs="Noto Serif"/>
          <w:b/>
          <w:bCs/>
          <w:color w:val="333333"/>
          <w:shd w:val="clear" w:color="auto" w:fill="FFFFFF"/>
        </w:rPr>
        <w:t>Osoby prawne oraz jednostki organizacyjne, o których mowa w</w:t>
      </w:r>
      <w:bookmarkStart w:id="0" w:name="target_link_mfrxilrsgm4taoboobqxalrrgazd"/>
      <w:bookmarkEnd w:id="0"/>
      <w:r>
        <w:rPr>
          <w:rFonts w:ascii="Georgia" w:hAnsi="Georgia" w:cs="Noto Serif"/>
          <w:b/>
          <w:bCs/>
          <w:color w:val="333333"/>
          <w:shd w:val="clear" w:color="auto" w:fill="FFFFFF"/>
        </w:rPr>
        <w:t xml:space="preserve"> art. 64 § 1</w:t>
      </w:r>
      <w:r>
        <w:rPr>
          <w:rFonts w:ascii="Georgia" w:hAnsi="Georgia" w:cs="Noto Serif"/>
          <w:b/>
          <w:bCs/>
          <w:color w:val="333333"/>
          <w:shd w:val="clear" w:color="auto" w:fill="FFFFFF"/>
          <w:vertAlign w:val="superscript"/>
        </w:rPr>
        <w:t>1</w:t>
      </w:r>
      <w:r>
        <w:rPr>
          <w:rFonts w:ascii="Georgia" w:hAnsi="Georgia" w:cs="Noto Serif"/>
          <w:b/>
          <w:bCs/>
          <w:color w:val="333333"/>
          <w:shd w:val="clear" w:color="auto" w:fill="FFFFFF"/>
        </w:rPr>
        <w:t xml:space="preserve"> Kodeksu postępowania cywilnego dokonują czynności procesowych:</w:t>
      </w:r>
    </w:p>
    <w:p w14:paraId="4F8CBE4D" w14:textId="77777777" w:rsidR="002E7B24" w:rsidRDefault="002B5224">
      <w:pPr>
        <w:spacing w:before="57" w:after="57" w:line="360" w:lineRule="auto"/>
        <w:ind w:left="720"/>
        <w:jc w:val="both"/>
        <w:rPr>
          <w:rFonts w:ascii="Georgia" w:hAnsi="Georgia"/>
        </w:rPr>
      </w:pPr>
      <w:r>
        <w:rPr>
          <w:rFonts w:ascii="Georgia" w:hAnsi="Georgia" w:cs="Noto Serif"/>
          <w:bCs/>
          <w:color w:val="333333"/>
          <w:shd w:val="clear" w:color="auto" w:fill="FFFFFF"/>
        </w:rPr>
        <w:t>a) przez swoje organy albo przez osoby uprawnione do działania w ich imieniu;</w:t>
      </w:r>
    </w:p>
    <w:p w14:paraId="656D81F0" w14:textId="77777777" w:rsidR="002E7B24" w:rsidRDefault="002B5224">
      <w:pPr>
        <w:spacing w:before="57" w:after="57" w:line="360" w:lineRule="auto"/>
        <w:ind w:left="720"/>
        <w:jc w:val="both"/>
        <w:rPr>
          <w:rFonts w:ascii="Georgia" w:hAnsi="Georgia"/>
        </w:rPr>
      </w:pPr>
      <w:r>
        <w:rPr>
          <w:rFonts w:ascii="Georgia" w:hAnsi="Georgia" w:cs="Noto Serif"/>
          <w:bCs/>
          <w:color w:val="333333"/>
          <w:shd w:val="clear" w:color="auto" w:fill="FFFFFF"/>
        </w:rPr>
        <w:t>b) tylko przez swoje organy;</w:t>
      </w:r>
    </w:p>
    <w:p w14:paraId="351EB898" w14:textId="77777777" w:rsidR="002E7B24" w:rsidRDefault="002B5224">
      <w:pPr>
        <w:spacing w:before="57" w:after="57" w:line="360" w:lineRule="auto"/>
        <w:ind w:left="720"/>
        <w:jc w:val="both"/>
        <w:rPr>
          <w:rFonts w:ascii="Georgia" w:hAnsi="Georgia"/>
        </w:rPr>
      </w:pPr>
      <w:r>
        <w:rPr>
          <w:rFonts w:ascii="Georgia" w:hAnsi="Georgia" w:cs="Noto Serif"/>
          <w:bCs/>
          <w:color w:val="333333"/>
          <w:shd w:val="clear" w:color="auto" w:fill="FFFFFF"/>
        </w:rPr>
        <w:t xml:space="preserve">c) tylko przez ustanowionego w sprawie pełnomocnika. </w:t>
      </w:r>
    </w:p>
    <w:p w14:paraId="769C61FA" w14:textId="77777777" w:rsidR="002E7B24" w:rsidRDefault="002E7B24">
      <w:pPr>
        <w:spacing w:before="57" w:after="57" w:line="360" w:lineRule="auto"/>
        <w:ind w:left="720"/>
        <w:jc w:val="both"/>
        <w:rPr>
          <w:rFonts w:cs="Noto Serif"/>
          <w:b/>
          <w:bCs/>
          <w:color w:val="333333"/>
          <w:shd w:val="clear" w:color="auto" w:fill="FFFFFF"/>
        </w:rPr>
      </w:pPr>
    </w:p>
    <w:p w14:paraId="6867ADF4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ind w:left="737" w:hanging="397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lastRenderedPageBreak/>
        <w:t>Zgodnie z Kodeksem postępowani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a cywilnego 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osoba posiadająca licencję doradcy restrukturyzacyjnego:</w:t>
      </w:r>
    </w:p>
    <w:p w14:paraId="6C894679" w14:textId="77777777" w:rsidR="002E7B24" w:rsidRDefault="002B5224">
      <w:pPr>
        <w:pStyle w:val="Akapitzlist"/>
        <w:spacing w:before="57" w:after="57" w:line="360" w:lineRule="auto"/>
        <w:ind w:left="737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nie może być pełnomocnikiem;</w:t>
      </w:r>
    </w:p>
    <w:p w14:paraId="6961922E" w14:textId="77777777" w:rsidR="002E7B24" w:rsidRDefault="002B5224">
      <w:pPr>
        <w:pStyle w:val="Akapitzlist"/>
        <w:spacing w:before="57" w:after="57" w:line="360" w:lineRule="auto"/>
        <w:ind w:left="737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może być pełnomocnikiem w sprawach restrukturyzacji i upadłości;</w:t>
      </w:r>
    </w:p>
    <w:p w14:paraId="5F31E339" w14:textId="77777777" w:rsidR="002E7B24" w:rsidRDefault="002B5224">
      <w:pPr>
        <w:pStyle w:val="Akapitzlist"/>
        <w:spacing w:before="57" w:after="57" w:line="360" w:lineRule="auto"/>
        <w:ind w:left="737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c) może być pełnomocnikiem we wszystkich sprawach. </w:t>
      </w:r>
    </w:p>
    <w:p w14:paraId="17E6ECDB" w14:textId="77777777" w:rsidR="002E7B24" w:rsidRDefault="002E7B24">
      <w:pPr>
        <w:pStyle w:val="Akapitzlist"/>
        <w:spacing w:before="57" w:after="57" w:line="360" w:lineRule="auto"/>
        <w:ind w:left="737"/>
        <w:jc w:val="both"/>
        <w:rPr>
          <w:rFonts w:ascii="Georgia" w:hAnsi="Georgia"/>
          <w:b/>
          <w:bCs/>
          <w:sz w:val="24"/>
          <w:szCs w:val="24"/>
        </w:rPr>
      </w:pPr>
    </w:p>
    <w:p w14:paraId="11195DA9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ind w:left="737" w:hanging="397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Pozwany będący osobą fizyczną nie odebrał odpisu pozwu i następnie przewodniczący zobowiązał powoda do doręczenia tego odpisu pozwu za pośrednictwem komornika w terminie 2 miesięcy, jednakże powód nie wy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konał tego zobowiązania. Wobec czego, sąd zawiesił postępowanie z tej przyczyny. W jakiej sytuacji sąd umorzy postępowanie:</w:t>
      </w:r>
    </w:p>
    <w:p w14:paraId="152AD68B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jeżeli wniosek o podjęcie postępowania nie został zgłoszony w ciągu trzech miesięcy od daty postanowienia o zawieszeniu postępowa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nia;</w:t>
      </w:r>
    </w:p>
    <w:p w14:paraId="2775442D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jeżeli wniosek o podjęcie postępowania nie został zgłoszony w ciągu sześciu miesięcy od daty postanowienia o zawieszeniu postępowania;</w:t>
      </w:r>
    </w:p>
    <w:p w14:paraId="58C5363B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jeżeli wniosek o podjęcie postępowania nie został zgłoszony w ciągu roku od daty postanowienia o zawieszeniu p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ostępowania.</w:t>
      </w:r>
    </w:p>
    <w:p w14:paraId="20BE6501" w14:textId="77777777" w:rsidR="002E7B24" w:rsidRDefault="002E7B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</w:p>
    <w:p w14:paraId="43359C99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ind w:left="737" w:hanging="397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Kodeksem postępowania cywilnego, strona powinna zwrócić uwagę sądu na uchybienie przepisom postępowania, wnosząc o wpisanie zastrzeżenia do protokołu. Zastrzeżenie można zgłosić najpóźniej:</w:t>
      </w:r>
    </w:p>
    <w:p w14:paraId="7AC56D20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do zakończenia posiedzenia, na którym d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oszło do uchybienia;</w:t>
      </w:r>
    </w:p>
    <w:p w14:paraId="02F852C6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na kolejnym posiedzeniu;</w:t>
      </w:r>
    </w:p>
    <w:p w14:paraId="0B8C2A02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do prawomocnego zakończenia postępowania.</w:t>
      </w:r>
    </w:p>
    <w:p w14:paraId="1B344B6C" w14:textId="77777777" w:rsidR="002E7B24" w:rsidRDefault="002E7B24">
      <w:pPr>
        <w:spacing w:before="57" w:after="57"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403E3DA6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ind w:left="737" w:hanging="397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lastRenderedPageBreak/>
        <w:t>Jeżeli Kodeks postępowania cywilnego przewiduje grzywnę bez określenia jej wysokości, grzywnę wymierza się w kwocie do:</w:t>
      </w:r>
    </w:p>
    <w:p w14:paraId="2ECFE894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dwóch tysięcy złotych;</w:t>
      </w:r>
    </w:p>
    <w:p w14:paraId="791A3AB2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trzech tysię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cy złotych;</w:t>
      </w:r>
    </w:p>
    <w:p w14:paraId="7E4AC30F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pięciu tysięcy złotych.</w:t>
      </w:r>
    </w:p>
    <w:p w14:paraId="152A1528" w14:textId="77777777" w:rsidR="002E7B24" w:rsidRDefault="002E7B24">
      <w:pPr>
        <w:pStyle w:val="Akapitzlist"/>
        <w:spacing w:before="57" w:after="57" w:line="360" w:lineRule="auto"/>
        <w:ind w:left="0"/>
        <w:jc w:val="both"/>
      </w:pPr>
    </w:p>
    <w:p w14:paraId="0A7A5901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ind w:left="737" w:hanging="397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Kodeksem postępowania cywilnego, mediatorem:</w:t>
      </w:r>
    </w:p>
    <w:p w14:paraId="12B53B0E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może być sędzia;</w:t>
      </w:r>
    </w:p>
    <w:p w14:paraId="4DA74AB2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może być sędzia, jednak wyłącznie w stanie spoczynku;</w:t>
      </w:r>
    </w:p>
    <w:p w14:paraId="25E97ADD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c) nie może być sędzia. </w:t>
      </w:r>
    </w:p>
    <w:p w14:paraId="091B2EDB" w14:textId="77777777" w:rsidR="002E7B24" w:rsidRDefault="002E7B24">
      <w:pPr>
        <w:spacing w:before="57" w:after="57"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72E12E5E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ind w:left="737" w:hanging="397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Kodeksem postępowania cywilnego, p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rzewodniczący zarządza doręczenie pozwu pozwanemu i wzywa go do złożenia odpowiedzi na pozew w wyznaczonym terminie nie krótszym niż: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 </w:t>
      </w:r>
    </w:p>
    <w:p w14:paraId="43BCCFCC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jeden tydzień;</w:t>
      </w:r>
    </w:p>
    <w:p w14:paraId="3D7CA47E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b) </w:t>
      </w:r>
      <w:r>
        <w:rPr>
          <w:rFonts w:ascii="Georgia" w:hAnsi="Georgia" w:cs="Noto Serif"/>
          <w:bCs/>
          <w:color w:val="333333"/>
          <w:sz w:val="24"/>
          <w:szCs w:val="24"/>
          <w:shd w:val="clear" w:color="auto" w:fill="FFFFFF"/>
        </w:rPr>
        <w:t>dwa tygodnie;</w:t>
      </w:r>
    </w:p>
    <w:p w14:paraId="71BF5860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c) 21 dni. </w:t>
      </w:r>
    </w:p>
    <w:p w14:paraId="54AE5C93" w14:textId="77777777" w:rsidR="002E7B24" w:rsidRDefault="002E7B24">
      <w:pPr>
        <w:spacing w:before="57" w:after="57"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40225D6D" w14:textId="77777777" w:rsidR="002E7B24" w:rsidRDefault="002B5224">
      <w:pPr>
        <w:pStyle w:val="Akapitzlist"/>
        <w:numPr>
          <w:ilvl w:val="0"/>
          <w:numId w:val="1"/>
        </w:numPr>
        <w:spacing w:before="57" w:after="57"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Sąd w wydanym wyroku nie orzekł o całości żądania sformułowanego przez powoda w treści pozwu. W związku z tym błędem, powód może złożyć: </w:t>
      </w:r>
    </w:p>
    <w:p w14:paraId="0166F944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wniosek o sprostowanie wyroku i orzeczenie co do całości żądania;</w:t>
      </w:r>
    </w:p>
    <w:p w14:paraId="667550EF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wniosek o uzupełnienie wyroku;</w:t>
      </w:r>
    </w:p>
    <w:p w14:paraId="3DAED99C" w14:textId="77777777" w:rsidR="002E7B24" w:rsidRDefault="002B5224">
      <w:pPr>
        <w:pStyle w:val="Akapitzlist"/>
        <w:spacing w:before="57" w:after="57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wniosek o ro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zstrzygnięcie wątpliwości co do treści wyroku. </w:t>
      </w:r>
    </w:p>
    <w:p w14:paraId="77DF137B" w14:textId="77777777" w:rsidR="002E7B24" w:rsidRDefault="002E7B24">
      <w:pPr>
        <w:spacing w:before="57" w:after="57"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43FB3F68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Referendarz sądowy w ramach odrębnego postępowania upominawczego wydał postanowienie o odmowie zwolnienia powoda 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lastRenderedPageBreak/>
        <w:t>od kosztów sądowych. Powód złożył skargę na powyższe orzeczenie referendarza. Jakie rozstrzygn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ięcie wyda sąd po rozpoznaniu skargi, uznając ją za bezzasadną (skarga wniesiona przez osobę uprawnioną, w ustawowym terminie, opłacona i bez braków formalnych):</w:t>
      </w:r>
    </w:p>
    <w:p w14:paraId="18BC5E03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postanowieniem oddali skargę;</w:t>
      </w:r>
    </w:p>
    <w:p w14:paraId="0D6F5BC8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postanowieniem odrzuci skargę;</w:t>
      </w:r>
    </w:p>
    <w:p w14:paraId="0420AE19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postanowieniem utrzyma w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 mocy orzeczenie referendarza sądowego;</w:t>
      </w:r>
    </w:p>
    <w:p w14:paraId="74C3AF86" w14:textId="77777777" w:rsidR="002E7B24" w:rsidRDefault="002E7B24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12319B99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Jeżeli czyn wyczerpuje znamiona określone w dwóch albo więcej przepisach ustawy karnej, sąd skazuje za:</w:t>
      </w:r>
    </w:p>
    <w:p w14:paraId="142AF010" w14:textId="77777777" w:rsidR="002E7B24" w:rsidRDefault="002B5224">
      <w:pPr>
        <w:pStyle w:val="Akapitzlist"/>
        <w:spacing w:line="360" w:lineRule="auto"/>
        <w:ind w:left="737"/>
        <w:jc w:val="both"/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jedno przestępstwo na podstawie wszystkich zbiegających się przepisów;</w:t>
      </w:r>
    </w:p>
    <w:p w14:paraId="4E48411F" w14:textId="77777777" w:rsidR="002E7B24" w:rsidRDefault="002B5224">
      <w:pPr>
        <w:pStyle w:val="Akapitzlist"/>
        <w:spacing w:line="360" w:lineRule="auto"/>
        <w:ind w:left="737"/>
        <w:jc w:val="both"/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b) wszystkie przestępstwa na 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podstawie zbiegających się przepisów;</w:t>
      </w:r>
    </w:p>
    <w:p w14:paraId="44F71BA7" w14:textId="77777777" w:rsidR="002E7B24" w:rsidRDefault="002B5224">
      <w:pPr>
        <w:pStyle w:val="Akapitzlist"/>
        <w:spacing w:line="360" w:lineRule="auto"/>
        <w:ind w:left="737"/>
        <w:jc w:val="both"/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 swobodnie wybrane przez Sąd przestępstwo spośród zbiegających się przepisów;</w:t>
      </w:r>
    </w:p>
    <w:p w14:paraId="56ECA3E4" w14:textId="77777777" w:rsidR="002E7B24" w:rsidRDefault="002E7B24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4F5853F1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Zgodnie z kodeksem karnym nie stanowi przestępstwa czyn, którego społeczna szkodliwość pozostaje:</w:t>
      </w:r>
    </w:p>
    <w:p w14:paraId="0A9936E5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znikoma;</w:t>
      </w:r>
    </w:p>
    <w:p w14:paraId="32DBA9B6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nieznaczna;</w:t>
      </w:r>
    </w:p>
    <w:p w14:paraId="300A7FA3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bookmarkStart w:id="1" w:name="_Hlk190586550"/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c) 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zasadnicza.</w:t>
      </w:r>
      <w:bookmarkEnd w:id="1"/>
    </w:p>
    <w:p w14:paraId="1DCF65DC" w14:textId="77777777" w:rsidR="002E7B24" w:rsidRDefault="002E7B24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38837400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67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Według Kodeksu karnego karami są:</w:t>
      </w:r>
    </w:p>
    <w:p w14:paraId="2605FDFE" w14:textId="77777777" w:rsidR="002E7B24" w:rsidRDefault="002B5224">
      <w:pPr>
        <w:pStyle w:val="Akapitzlist"/>
        <w:spacing w:line="360" w:lineRule="auto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grzywna, ograniczenie wolności, pozbawienie wolności, dożywotnie pozbawienie wolności</w:t>
      </w:r>
    </w:p>
    <w:p w14:paraId="4EEDB285" w14:textId="77777777" w:rsidR="002E7B24" w:rsidRDefault="002B5224">
      <w:pPr>
        <w:pStyle w:val="Akapitzlist"/>
        <w:spacing w:line="360" w:lineRule="auto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grzywna, ograniczenie wolności;</w:t>
      </w:r>
    </w:p>
    <w:p w14:paraId="0FE66978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grzywna, pozbawienie wolności</w:t>
      </w:r>
    </w:p>
    <w:p w14:paraId="1568C935" w14:textId="77777777" w:rsidR="002E7B24" w:rsidRDefault="002E7B24">
      <w:pPr>
        <w:pStyle w:val="Akapitzlist"/>
        <w:spacing w:line="360" w:lineRule="auto"/>
        <w:ind w:left="1080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</w:p>
    <w:p w14:paraId="6FFBBAF6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W postępowaniu karnym oskarżony musi mieć obrońcę j</w:t>
      </w:r>
      <w:r>
        <w:rPr>
          <w:rFonts w:ascii="Georgia" w:hAnsi="Georgia"/>
          <w:b/>
          <w:bCs/>
          <w:sz w:val="24"/>
          <w:szCs w:val="24"/>
        </w:rPr>
        <w:t xml:space="preserve">eżeli: </w:t>
      </w:r>
    </w:p>
    <w:p w14:paraId="27405EDD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a) jest osobą niepełnosprawną</w:t>
      </w:r>
    </w:p>
    <w:p w14:paraId="6B84028C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b) jest cudzoziemcem</w:t>
      </w:r>
    </w:p>
    <w:p w14:paraId="4262B2E4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c) nie ukończył 18 lat.</w:t>
      </w:r>
    </w:p>
    <w:p w14:paraId="5F759C62" w14:textId="77777777" w:rsidR="002E7B24" w:rsidRDefault="002E7B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DFD4759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Zgodnie z kodeksem karnym dozór jest obowiązkowy wobec:</w:t>
      </w:r>
    </w:p>
    <w:p w14:paraId="38A702D1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sprawcy działającego w celu osiągnięcia korzyści majątkowej;</w:t>
      </w:r>
    </w:p>
    <w:p w14:paraId="7A23CB76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sprawcy przestępstwa umyślnego;</w:t>
      </w:r>
    </w:p>
    <w:p w14:paraId="4A416F45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c) 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młodocianego sprawcy przestępstwa umyślnego.</w:t>
      </w:r>
    </w:p>
    <w:p w14:paraId="4B567837" w14:textId="77777777" w:rsidR="002E7B24" w:rsidRDefault="002E7B24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4F4EC121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W postępowaniu karnym Sąd orzeka obligatoryjnie co do zasady zakaz prowadzenia wszelkich pojazdów mechanicznych w razie skazania za przestępstwo:</w:t>
      </w:r>
    </w:p>
    <w:p w14:paraId="1B53DF17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określone w art. 244 kk (niestosowanie się do orzeczonego wyr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okiem zakazu), jeżeli czyn sprawcy polegał na niestosowaniu się do zakazu prowadzenia pojazdów mechanicznych;</w:t>
      </w:r>
    </w:p>
    <w:p w14:paraId="7BA22F7F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określone w art. 177§1 kk (wypadek drogowy);</w:t>
      </w:r>
    </w:p>
    <w:p w14:paraId="1805198B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określone w art. 289§1 kk (zabór pojazdu);</w:t>
      </w:r>
    </w:p>
    <w:p w14:paraId="16B1AD75" w14:textId="77777777" w:rsidR="002E7B24" w:rsidRDefault="002E7B24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395831AE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Stan nietrzeźwości w rozumieniu kodeksu 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karnego zachodzi, gdy:</w:t>
      </w:r>
    </w:p>
    <w:p w14:paraId="0776A154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zawartość alkoholu we krwi przekracza 0,5 promila albo prowadzi do stężenia przekraczającego tę wartość;</w:t>
      </w:r>
    </w:p>
    <w:p w14:paraId="6D17C112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zawartość alkoholu we krwi przekracza 0,25 promila;</w:t>
      </w:r>
    </w:p>
    <w:p w14:paraId="4356BA2A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zawartość alkoholu we krwi przekracza 0,10 promila;</w:t>
      </w:r>
    </w:p>
    <w:p w14:paraId="7130A303" w14:textId="77777777" w:rsidR="002E7B24" w:rsidRDefault="002E7B24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71EAAE69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Karalność prze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stępstwa zagrożonego karą nieprzekraczającą 3 lat pobawienia wolności ustaje, jeżeli od czasu jego popełnienia upłynęło lat:</w:t>
      </w:r>
    </w:p>
    <w:p w14:paraId="5331E9F4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5;</w:t>
      </w:r>
    </w:p>
    <w:p w14:paraId="3CE92090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3;</w:t>
      </w:r>
    </w:p>
    <w:p w14:paraId="569315DE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2.</w:t>
      </w:r>
    </w:p>
    <w:p w14:paraId="63BAD284" w14:textId="77777777" w:rsidR="002E7B24" w:rsidRDefault="002E7B24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112B0F3D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67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Sąd może podjąć warunkowo umorzone postępowanie karne:</w:t>
      </w:r>
    </w:p>
    <w:p w14:paraId="3BF43F3F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lastRenderedPageBreak/>
        <w:t>a) wyłącznie na wniosek pokrzywdzonego;</w:t>
      </w:r>
    </w:p>
    <w:p w14:paraId="242B348C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b) wobec </w:t>
      </w: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sprawcy, który w okresie próby rażąco naruszał porządek prawny;</w:t>
      </w:r>
    </w:p>
    <w:p w14:paraId="288B9E7A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w terminie do roku od upływu okresu próby</w:t>
      </w:r>
    </w:p>
    <w:p w14:paraId="0F4B69F7" w14:textId="77777777" w:rsidR="002E7B24" w:rsidRDefault="002E7B24">
      <w:pPr>
        <w:pStyle w:val="Akapitzlist"/>
        <w:spacing w:line="360" w:lineRule="auto"/>
        <w:ind w:left="1080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</w:p>
    <w:p w14:paraId="5B2CF2AF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67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Środkiem zabezpieczającym nie jest:</w:t>
      </w:r>
    </w:p>
    <w:p w14:paraId="66670820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 xml:space="preserve">a) elektroniczna kontrola miejsca pobytu; </w:t>
      </w:r>
    </w:p>
    <w:p w14:paraId="19AFAAB0" w14:textId="77777777" w:rsidR="002E7B24" w:rsidRDefault="002B5224">
      <w:pPr>
        <w:pStyle w:val="Akapitzlist"/>
        <w:spacing w:line="360" w:lineRule="auto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pobyt w zakładzie psychologicznym.</w:t>
      </w:r>
    </w:p>
    <w:p w14:paraId="0333ED78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terapia;</w:t>
      </w:r>
    </w:p>
    <w:p w14:paraId="7A29CBAA" w14:textId="77777777" w:rsidR="002E7B24" w:rsidRDefault="002E7B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0772602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Oskarżony może m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ieć jednocześnie nie więcej niż:</w:t>
      </w:r>
    </w:p>
    <w:p w14:paraId="65F9DED6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jednego obrońcę i jednego pełnomocnika;</w:t>
      </w:r>
    </w:p>
    <w:p w14:paraId="3DE695DA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dwóch obrońców;</w:t>
      </w:r>
    </w:p>
    <w:p w14:paraId="520FAB6E" w14:textId="77777777" w:rsidR="002E7B24" w:rsidRDefault="002B5224">
      <w:pPr>
        <w:pStyle w:val="Akapitzlist"/>
        <w:spacing w:line="360" w:lineRule="auto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dwóch pełnomocników w postaci zstępnych</w:t>
      </w:r>
    </w:p>
    <w:p w14:paraId="3E306FA1" w14:textId="77777777" w:rsidR="002E7B24" w:rsidRDefault="002E7B24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63375711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67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 xml:space="preserve">Zgodnie z kodeksem postępowania karnego sprostowanie oczywistej omyłki pisarskiej w wyroku następuje: </w:t>
      </w:r>
    </w:p>
    <w:p w14:paraId="5D141060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z urzędu;</w:t>
      </w:r>
    </w:p>
    <w:p w14:paraId="65C50D9C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na wniosek;</w:t>
      </w:r>
    </w:p>
    <w:p w14:paraId="53A81899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z urzędu lub na wniosek.</w:t>
      </w:r>
    </w:p>
    <w:p w14:paraId="72C49A3E" w14:textId="77777777" w:rsidR="002E7B24" w:rsidRDefault="002E7B24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7B5E359B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67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Organy prowadzące postępowanie karne są obowiązane badać oraz uwzględniać okoliczności:</w:t>
      </w:r>
    </w:p>
    <w:p w14:paraId="683B6987" w14:textId="77777777" w:rsidR="002E7B24" w:rsidRDefault="002B522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Georgia" w:hAnsi="Georgia" w:cs="Noto Serif"/>
          <w:color w:val="333333"/>
          <w:sz w:val="24"/>
          <w:szCs w:val="24"/>
          <w:shd w:val="clear" w:color="auto" w:fill="FFFFFF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przemawiające jedynie na korzyść oskarżonego;</w:t>
      </w:r>
    </w:p>
    <w:p w14:paraId="4A4C4160" w14:textId="77777777" w:rsidR="002E7B24" w:rsidRDefault="002B522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mające na celu osiągnięcie celów polityki karnej państwa;</w:t>
      </w:r>
    </w:p>
    <w:p w14:paraId="6A74D7D7" w14:textId="77777777" w:rsidR="002E7B24" w:rsidRDefault="002B522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przemawiające zarówno na korzyść, jak i na niekorzyść oskarżonego.</w:t>
      </w:r>
    </w:p>
    <w:p w14:paraId="1F893663" w14:textId="77777777" w:rsidR="002E7B24" w:rsidRDefault="002E7B24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6DF8414A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67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Wydanie wyroku nakazowego za przestępstwo pozostaje niedopuszczalne w sprawie:</w:t>
      </w:r>
    </w:p>
    <w:p w14:paraId="67ED9F1A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przeciwko mieniu;</w:t>
      </w:r>
    </w:p>
    <w:p w14:paraId="21FDA5F4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przeciwko życiu lub zdrowiu;</w:t>
      </w:r>
    </w:p>
    <w:p w14:paraId="1AD43EA3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lastRenderedPageBreak/>
        <w:t>c) z oskarżenia prywatnego</w:t>
      </w:r>
    </w:p>
    <w:p w14:paraId="5B73A125" w14:textId="77777777" w:rsidR="002E7B24" w:rsidRDefault="002E7B24">
      <w:pPr>
        <w:spacing w:line="360" w:lineRule="auto"/>
        <w:ind w:left="720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7DF9EF8A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Zastosowanie tymczasowego ar</w:t>
      </w:r>
      <w:r>
        <w:rPr>
          <w:rFonts w:ascii="Georgia" w:hAnsi="Georgia" w:cs="Noto Serif"/>
          <w:b/>
          <w:bCs/>
          <w:color w:val="333333"/>
          <w:sz w:val="24"/>
          <w:szCs w:val="24"/>
          <w:shd w:val="clear" w:color="auto" w:fill="FFFFFF"/>
        </w:rPr>
        <w:t>esztowania może nastąpić:</w:t>
      </w:r>
    </w:p>
    <w:p w14:paraId="78677EEF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a) tylko na mocy postanowienia sądu;</w:t>
      </w:r>
    </w:p>
    <w:p w14:paraId="357D9621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b) wyłącznie w przypadku podejrzenia popełniania zbrodni;</w:t>
      </w:r>
    </w:p>
    <w:p w14:paraId="2DF53AD8" w14:textId="77777777" w:rsidR="002E7B24" w:rsidRDefault="002B5224">
      <w:pPr>
        <w:pStyle w:val="Akapitzlis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Noto Serif"/>
          <w:color w:val="333333"/>
          <w:sz w:val="24"/>
          <w:szCs w:val="24"/>
          <w:shd w:val="clear" w:color="auto" w:fill="FFFFFF"/>
        </w:rPr>
        <w:t>c) za zgodą pokrzywdzonego.</w:t>
      </w:r>
    </w:p>
    <w:p w14:paraId="33DF358E" w14:textId="77777777" w:rsidR="002E7B24" w:rsidRDefault="002E7B24">
      <w:pPr>
        <w:spacing w:line="360" w:lineRule="auto"/>
        <w:jc w:val="both"/>
        <w:rPr>
          <w:rFonts w:ascii="Georgia" w:hAnsi="Georgia" w:cs="Noto Serif"/>
          <w:color w:val="333333"/>
          <w:shd w:val="clear" w:color="auto" w:fill="FFFFFF"/>
        </w:rPr>
      </w:pPr>
    </w:p>
    <w:p w14:paraId="15164E33" w14:textId="77777777" w:rsidR="002E7B24" w:rsidRDefault="002B5224">
      <w:pPr>
        <w:pStyle w:val="Akapitzlist"/>
        <w:numPr>
          <w:ilvl w:val="0"/>
          <w:numId w:val="1"/>
        </w:numPr>
        <w:spacing w:line="360" w:lineRule="auto"/>
        <w:ind w:left="737" w:hanging="510"/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Zgodnie z kodeksem karnym zaliczając na poczet orzeczonej kary ograniczenia wolności przyjmuje się, iż jed</w:t>
      </w:r>
      <w:r>
        <w:rPr>
          <w:rFonts w:ascii="Georgia" w:hAnsi="Georgia"/>
          <w:b/>
          <w:sz w:val="24"/>
          <w:szCs w:val="24"/>
        </w:rPr>
        <w:t xml:space="preserve">en dzień rzeczywistego pozbawienia wolności w sprawie jest równy: </w:t>
      </w:r>
    </w:p>
    <w:p w14:paraId="13C2A431" w14:textId="77777777" w:rsidR="002E7B24" w:rsidRDefault="002B5224">
      <w:pPr>
        <w:numPr>
          <w:ilvl w:val="0"/>
          <w:numId w:val="2"/>
        </w:numPr>
        <w:overflowPunct w:val="0"/>
        <w:spacing w:line="360" w:lineRule="auto"/>
        <w:jc w:val="both"/>
        <w:textAlignment w:val="baseline"/>
        <w:rPr>
          <w:rFonts w:ascii="Georgia" w:hAnsi="Georgia"/>
        </w:rPr>
      </w:pPr>
      <w:r>
        <w:rPr>
          <w:rFonts w:ascii="Georgia" w:hAnsi="Georgia"/>
        </w:rPr>
        <w:t>jednemu dniowi kary ograniczenia wolności;</w:t>
      </w:r>
    </w:p>
    <w:p w14:paraId="2D219EFA" w14:textId="77777777" w:rsidR="002E7B24" w:rsidRDefault="002B5224">
      <w:pPr>
        <w:numPr>
          <w:ilvl w:val="0"/>
          <w:numId w:val="2"/>
        </w:numPr>
        <w:overflowPunct w:val="0"/>
        <w:spacing w:line="360" w:lineRule="auto"/>
        <w:jc w:val="both"/>
        <w:textAlignment w:val="baseline"/>
        <w:rPr>
          <w:rFonts w:ascii="Georgia" w:hAnsi="Georgia"/>
        </w:rPr>
      </w:pPr>
      <w:r>
        <w:rPr>
          <w:rFonts w:ascii="Georgia" w:hAnsi="Georgia"/>
        </w:rPr>
        <w:t xml:space="preserve">dwóm dniom kary ograniczenia wolności; </w:t>
      </w:r>
    </w:p>
    <w:p w14:paraId="7DDCB8FB" w14:textId="77777777" w:rsidR="002E7B24" w:rsidRDefault="002B5224">
      <w:pPr>
        <w:numPr>
          <w:ilvl w:val="0"/>
          <w:numId w:val="2"/>
        </w:numPr>
        <w:overflowPunct w:val="0"/>
        <w:spacing w:line="360" w:lineRule="auto"/>
        <w:jc w:val="both"/>
        <w:textAlignment w:val="baseline"/>
        <w:rPr>
          <w:rFonts w:ascii="Georgia" w:hAnsi="Georgia"/>
        </w:rPr>
      </w:pPr>
      <w:r>
        <w:rPr>
          <w:rFonts w:ascii="Georgia" w:hAnsi="Georgia" w:cs="Noto Serif"/>
          <w:color w:val="333333"/>
          <w:shd w:val="clear" w:color="auto" w:fill="FFFFFF"/>
        </w:rPr>
        <w:t>trzem dniom kary ograniczenia wolności.</w:t>
      </w:r>
    </w:p>
    <w:p w14:paraId="17B15F0F" w14:textId="77777777" w:rsidR="002E7B24" w:rsidRDefault="002E7B24">
      <w:pPr>
        <w:pStyle w:val="Akapitzlist"/>
        <w:spacing w:line="360" w:lineRule="auto"/>
        <w:ind w:left="737"/>
        <w:jc w:val="both"/>
        <w:rPr>
          <w:rFonts w:ascii="Georgia" w:hAnsi="Georgia"/>
          <w:b/>
          <w:bCs/>
          <w:sz w:val="24"/>
          <w:szCs w:val="24"/>
        </w:rPr>
      </w:pPr>
    </w:p>
    <w:p w14:paraId="0A988F41" w14:textId="77777777" w:rsidR="002E7B24" w:rsidRDefault="002B5224">
      <w:pPr>
        <w:pStyle w:val="Tekstpodstawowy"/>
        <w:spacing w:after="283" w:line="360" w:lineRule="auto"/>
        <w:rPr>
          <w:rFonts w:ascii="Georgia" w:hAnsi="Georgia"/>
          <w:b w:val="0"/>
          <w:color w:val="333333"/>
          <w:sz w:val="24"/>
          <w:szCs w:val="24"/>
          <w:shd w:val="clear" w:color="auto" w:fill="FFFFFF"/>
        </w:rPr>
      </w:pPr>
      <w:r>
        <w:br w:type="page"/>
      </w:r>
    </w:p>
    <w:p w14:paraId="19BC6B0F" w14:textId="77777777" w:rsidR="002E7B24" w:rsidRDefault="002B5224">
      <w:pPr>
        <w:spacing w:line="276" w:lineRule="auto"/>
        <w:rPr>
          <w:rFonts w:ascii="Georgia" w:hAnsi="Georgia"/>
          <w:b/>
        </w:rPr>
      </w:pPr>
      <w:r>
        <w:rPr>
          <w:rFonts w:ascii="Georgia" w:hAnsi="Georgia"/>
          <w:b/>
        </w:rPr>
        <w:lastRenderedPageBreak/>
        <w:t>Praca pisemna z zakresu prawa karnego.</w:t>
      </w:r>
    </w:p>
    <w:p w14:paraId="6C63EBFF" w14:textId="77777777" w:rsidR="002E7B24" w:rsidRDefault="002E7B24">
      <w:pPr>
        <w:ind w:right="170"/>
        <w:rPr>
          <w:rFonts w:ascii="Georgia" w:hAnsi="Georgia"/>
          <w:b/>
        </w:rPr>
      </w:pPr>
    </w:p>
    <w:p w14:paraId="506195C3" w14:textId="77777777" w:rsidR="002E7B24" w:rsidRDefault="002E7B24">
      <w:pPr>
        <w:ind w:right="170"/>
        <w:rPr>
          <w:rFonts w:ascii="Georgia" w:hAnsi="Georgia"/>
          <w:b/>
        </w:rPr>
      </w:pPr>
    </w:p>
    <w:p w14:paraId="4ABB4B0E" w14:textId="77777777" w:rsidR="002E7B24" w:rsidRDefault="002B5224">
      <w:pPr>
        <w:spacing w:line="360" w:lineRule="auto"/>
        <w:ind w:right="170"/>
        <w:jc w:val="both"/>
        <w:rPr>
          <w:rFonts w:ascii="Georgia" w:hAnsi="Georgia"/>
        </w:rPr>
      </w:pPr>
      <w:r>
        <w:rPr>
          <w:rFonts w:ascii="Georgia" w:hAnsi="Georgia"/>
        </w:rPr>
        <w:t xml:space="preserve">W dniu 3 </w:t>
      </w:r>
      <w:r>
        <w:rPr>
          <w:rFonts w:ascii="Georgia" w:hAnsi="Georgia"/>
        </w:rPr>
        <w:t>stycznia 2025 roku  do Sądu Rejonowego wpłynął akt oskarżenia wobec Adama Kowalskiego, którego oskarżono o popełnienie występku z art. 288 § 3 Kodeksu karnego (zniszczenia mienia) w dniu 10 maja 2024 roku  na szkodę Mileny Kot.</w:t>
      </w:r>
    </w:p>
    <w:p w14:paraId="0E3B4389" w14:textId="77777777" w:rsidR="002E7B24" w:rsidRDefault="002B5224">
      <w:pPr>
        <w:spacing w:line="360" w:lineRule="auto"/>
        <w:ind w:right="170"/>
        <w:jc w:val="both"/>
        <w:rPr>
          <w:rFonts w:ascii="Georgia" w:hAnsi="Georgia"/>
        </w:rPr>
      </w:pPr>
      <w:r>
        <w:rPr>
          <w:rFonts w:ascii="Georgia" w:hAnsi="Georgia"/>
        </w:rPr>
        <w:t>Sprawę zarejestrowano pod sy</w:t>
      </w:r>
      <w:r>
        <w:rPr>
          <w:rFonts w:ascii="Georgia" w:hAnsi="Georgia"/>
        </w:rPr>
        <w:t xml:space="preserve">gnaturą II K 25/25. Jako referenta wyznaczono Sędziego  Piotra Pawła. Na pierwszym terminie rozprawy w dniu 18 lutego 2025 roku pokrzywdzona cofnęła wniosek o ściganie oskarżonego. Obecny na sali prokurator Michał Nowak nie sprzeciwił się wnioskowi Mileny </w:t>
      </w:r>
      <w:r>
        <w:rPr>
          <w:rFonts w:ascii="Georgia" w:hAnsi="Georgia"/>
        </w:rPr>
        <w:t xml:space="preserve">Kot.  </w:t>
      </w:r>
    </w:p>
    <w:p w14:paraId="129AA462" w14:textId="77777777" w:rsidR="002E7B24" w:rsidRDefault="002E7B24">
      <w:pPr>
        <w:spacing w:line="360" w:lineRule="auto"/>
        <w:ind w:right="170"/>
        <w:jc w:val="both"/>
        <w:rPr>
          <w:rFonts w:ascii="Georgia" w:hAnsi="Georgia"/>
        </w:rPr>
      </w:pPr>
    </w:p>
    <w:p w14:paraId="51A0ED43" w14:textId="77777777" w:rsidR="002E7B24" w:rsidRDefault="002B5224">
      <w:pPr>
        <w:spacing w:line="360" w:lineRule="auto"/>
        <w:ind w:right="170"/>
        <w:jc w:val="both"/>
        <w:rPr>
          <w:rFonts w:ascii="Georgia" w:hAnsi="Georgia"/>
          <w:b/>
        </w:rPr>
      </w:pPr>
      <w:r>
        <w:rPr>
          <w:rFonts w:ascii="Georgia" w:hAnsi="Georgia"/>
          <w:b/>
        </w:rPr>
        <w:t>W oparciu o podany stan faktyczny sporządź projekt rozstrzygnięcia z uzasadnieniem jakie może wydać sędzia referent.</w:t>
      </w:r>
    </w:p>
    <w:p w14:paraId="25BAFCE2" w14:textId="77777777" w:rsidR="002E7B24" w:rsidRDefault="002E7B24">
      <w:pPr>
        <w:ind w:right="170"/>
        <w:rPr>
          <w:rFonts w:ascii="Georgia" w:hAnsi="Georgia"/>
        </w:rPr>
      </w:pPr>
    </w:p>
    <w:p w14:paraId="11841FE7" w14:textId="77777777" w:rsidR="002E7B24" w:rsidRDefault="002E7B24">
      <w:pPr>
        <w:ind w:right="170"/>
        <w:rPr>
          <w:rFonts w:ascii="Georgia" w:hAnsi="Georgia"/>
        </w:rPr>
      </w:pPr>
    </w:p>
    <w:p w14:paraId="14C8A46E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Georgia" w:hAnsi="Georg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Georgia" w:hAnsi="Georg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Georgia" w:hAnsi="Georg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Georgia" w:hAnsi="Georg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</w:t>
      </w:r>
      <w:r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58DCAF" w14:textId="77777777" w:rsidR="002E7B24" w:rsidRDefault="002B5224">
      <w:pPr>
        <w:jc w:val="both"/>
        <w:rPr>
          <w:rFonts w:ascii="Book Antiqua" w:hAnsi="Book Antiqua"/>
          <w:sz w:val="22"/>
          <w:szCs w:val="22"/>
          <w:u w:val="single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1725C7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11150A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6100FE" w14:textId="77777777" w:rsidR="002E7B24" w:rsidRDefault="002B5224">
      <w:pPr>
        <w:jc w:val="both"/>
        <w:rPr>
          <w:rFonts w:ascii="Book Antiqua" w:hAnsi="Book Antiqua"/>
          <w:sz w:val="22"/>
          <w:szCs w:val="22"/>
          <w:u w:val="single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6FDA60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19875E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6AE99B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90AB96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136FE3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B81B80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3D4A5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bookmarkStart w:id="2" w:name="_Hlk190681921"/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</w:t>
      </w:r>
    </w:p>
    <w:bookmarkEnd w:id="2"/>
    <w:p w14:paraId="1CF53024" w14:textId="77777777" w:rsidR="00816C44" w:rsidRDefault="00816C44" w:rsidP="00816C4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D05B09" w14:textId="77777777" w:rsidR="00816C44" w:rsidRDefault="00816C44" w:rsidP="00816C4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413345" w14:textId="77777777" w:rsidR="00816C44" w:rsidRDefault="00816C44" w:rsidP="00816C4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58D773" w14:textId="0482F772" w:rsidR="00816C44" w:rsidRDefault="00816C44" w:rsidP="00816C4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C7D697" w14:textId="2F000BC5" w:rsidR="00816C44" w:rsidRDefault="002B5224" w:rsidP="00816C44">
      <w:pPr>
        <w:jc w:val="both"/>
        <w:rPr>
          <w:rFonts w:ascii="Book Antiqua" w:hAnsi="Book Antiqua"/>
          <w:sz w:val="22"/>
          <w:szCs w:val="22"/>
        </w:rPr>
      </w:pPr>
      <w:r>
        <w:br w:type="page"/>
      </w:r>
    </w:p>
    <w:p w14:paraId="2E017AEF" w14:textId="55805325" w:rsidR="002E7B24" w:rsidRDefault="002E7B24">
      <w:pPr>
        <w:jc w:val="both"/>
        <w:rPr>
          <w:rFonts w:ascii="Book Antiqua" w:hAnsi="Book Antiqua"/>
          <w:sz w:val="22"/>
          <w:szCs w:val="22"/>
        </w:rPr>
      </w:pPr>
    </w:p>
    <w:p w14:paraId="09D5F720" w14:textId="77777777" w:rsidR="002E7B24" w:rsidRDefault="002B5224">
      <w:pPr>
        <w:spacing w:line="276" w:lineRule="auto"/>
        <w:rPr>
          <w:rFonts w:ascii="Georgia" w:hAnsi="Georgia"/>
          <w:b/>
        </w:rPr>
      </w:pPr>
      <w:r>
        <w:rPr>
          <w:rFonts w:ascii="Georgia" w:hAnsi="Georgia"/>
          <w:b/>
        </w:rPr>
        <w:t>Praca pisemna z zakresu prawa cywilnego.</w:t>
      </w:r>
    </w:p>
    <w:p w14:paraId="70762ED2" w14:textId="77777777" w:rsidR="002E7B24" w:rsidRDefault="002E7B24">
      <w:pPr>
        <w:spacing w:line="360" w:lineRule="auto"/>
        <w:jc w:val="both"/>
        <w:rPr>
          <w:rFonts w:ascii="Georgia" w:hAnsi="Georgia"/>
        </w:rPr>
      </w:pPr>
    </w:p>
    <w:p w14:paraId="00EF2C96" w14:textId="77777777" w:rsidR="002E7B24" w:rsidRDefault="002B5224">
      <w:pPr>
        <w:pStyle w:val="Defaul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W dniu 21 grudnia 2024r. adwokat Piotr Paweł w imieniu powoda Tomasza Kowalskiego wniósł do Sądu Rejonowego Lublin-Wschód w Lublinie z siedzibą w Świdniku pozew przeciwko Zenonowi Podgórskiemu o zapłatę kwoty 100.000 zł z ustawowymi odsetkami za opóźnienie</w:t>
      </w:r>
      <w:r>
        <w:rPr>
          <w:rFonts w:ascii="Georgia" w:hAnsi="Georgia"/>
          <w:sz w:val="24"/>
          <w:szCs w:val="24"/>
        </w:rPr>
        <w:t xml:space="preserve"> od dnia wniesienia pozwu do dnia zapłaty. </w:t>
      </w:r>
    </w:p>
    <w:p w14:paraId="728E1CC7" w14:textId="77777777" w:rsidR="002E7B24" w:rsidRDefault="002B5224">
      <w:pPr>
        <w:pStyle w:val="Defaul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W uzasadnieniu pozwu wskazano, że powód udzielił pozwanemu pożyczki, która do chwili obecnej nie została zwrócona pomimo upływu terminu zwrotu.</w:t>
      </w:r>
    </w:p>
    <w:p w14:paraId="50F2F787" w14:textId="77777777" w:rsidR="002E7B24" w:rsidRDefault="002B5224">
      <w:pPr>
        <w:pStyle w:val="Defaul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Sprawa została zarejestrowania w Repertorium C. </w:t>
      </w:r>
    </w:p>
    <w:p w14:paraId="140ED761" w14:textId="77777777" w:rsidR="002E7B24" w:rsidRDefault="002B5224">
      <w:pPr>
        <w:pStyle w:val="Default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W pozwie pełnomocni</w:t>
      </w:r>
      <w:r>
        <w:rPr>
          <w:rFonts w:ascii="Georgia" w:hAnsi="Georgia"/>
          <w:sz w:val="24"/>
          <w:szCs w:val="24"/>
        </w:rPr>
        <w:t xml:space="preserve">k wskazał, że opłatę od pozwu wniesie osobiście powód. Opłata nie wpłynęła na rachunek sądu. Nadto nie został złożony odpis pozwu. </w:t>
      </w:r>
    </w:p>
    <w:p w14:paraId="186955D8" w14:textId="77777777" w:rsidR="002E7B24" w:rsidRDefault="002E7B24">
      <w:pPr>
        <w:pStyle w:val="Default"/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C0EFC63" w14:textId="77777777" w:rsidR="002E7B24" w:rsidRDefault="002B5224">
      <w:pPr>
        <w:pStyle w:val="Default"/>
        <w:shd w:val="clear" w:color="auto" w:fill="FFFFFF"/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eastAsia="Times New Roman" w:hAnsi="Georgia"/>
          <w:b/>
          <w:color w:val="333333"/>
          <w:sz w:val="24"/>
          <w:szCs w:val="24"/>
          <w:lang w:eastAsia="pl-PL"/>
        </w:rPr>
        <w:t xml:space="preserve">Jakie decyzje procesowe (orzeczenie, zarządzenie) powinny zostać podjęte w sprawie oraz przez kogo (Sąd, sędzia referent). </w:t>
      </w:r>
      <w:r>
        <w:rPr>
          <w:rFonts w:ascii="Georgia" w:eastAsia="Times New Roman" w:hAnsi="Georgia"/>
          <w:b/>
          <w:color w:val="333333"/>
          <w:sz w:val="24"/>
          <w:szCs w:val="24"/>
          <w:lang w:eastAsia="pl-PL"/>
        </w:rPr>
        <w:t xml:space="preserve">Proszę przygotować projekt stosownego rozstrzygnięcia (wraz z uzasadnieniem – nawet jeżeli jego sporządzenie nie jest obowiązkowe – oraz odpowiednimi zarządzeniami).     </w:t>
      </w:r>
    </w:p>
    <w:p w14:paraId="05F52F4B" w14:textId="77777777" w:rsidR="002E7B24" w:rsidRDefault="002E7B24">
      <w:pPr>
        <w:shd w:val="clear" w:color="auto" w:fill="FFFFFF"/>
        <w:jc w:val="both"/>
        <w:rPr>
          <w:rFonts w:ascii="Georgia" w:hAnsi="Georgia"/>
        </w:rPr>
      </w:pPr>
    </w:p>
    <w:p w14:paraId="2A24151B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</w:t>
      </w:r>
    </w:p>
    <w:p w14:paraId="454A83E0" w14:textId="77777777" w:rsidR="002E7B24" w:rsidRDefault="002B5224">
      <w:pPr>
        <w:jc w:val="both"/>
        <w:rPr>
          <w:rFonts w:ascii="Book Antiqua" w:hAnsi="Book Antiqua"/>
          <w:sz w:val="22"/>
          <w:szCs w:val="22"/>
          <w:u w:val="single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lastRenderedPageBreak/>
        <w:t>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  <w:u w:val="single"/>
        </w:rPr>
        <w:t>.</w:t>
      </w:r>
    </w:p>
    <w:p w14:paraId="56B204C3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………………...………………………………………………………………………………………………………………………………………………………………………………………………………………………………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...</w:t>
      </w:r>
    </w:p>
    <w:p w14:paraId="066D8542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9DF557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D9E591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48D925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BF48D0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5954D1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179624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E7B01B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</w:t>
      </w:r>
    </w:p>
    <w:p w14:paraId="705BCB28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</w:t>
      </w:r>
    </w:p>
    <w:p w14:paraId="0C8DA516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02F1AB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8FDFB32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9A9158" w14:textId="77777777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</w:t>
      </w:r>
    </w:p>
    <w:p w14:paraId="1EC6B131" w14:textId="2F5B87F0" w:rsidR="002E7B24" w:rsidRDefault="002B522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304C4FD" w14:textId="77777777" w:rsidR="00816C44" w:rsidRDefault="00816C44" w:rsidP="00816C4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05DA00" w14:textId="77777777" w:rsidR="00816C44" w:rsidRDefault="00816C44" w:rsidP="00816C4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7ACC84" w14:textId="387A9C08" w:rsidR="00816C44" w:rsidRDefault="00816C44" w:rsidP="00816C4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73D4F5" w14:textId="77777777" w:rsidR="00816C44" w:rsidRDefault="00816C44" w:rsidP="00816C4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C0B1DA" w14:textId="0D853671" w:rsidR="00816C44" w:rsidRDefault="00816C44" w:rsidP="00816C44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816C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3" w:bottom="1417" w:left="1417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B5EFF" w14:textId="77777777" w:rsidR="002B5224" w:rsidRDefault="002B5224">
      <w:r>
        <w:separator/>
      </w:r>
    </w:p>
  </w:endnote>
  <w:endnote w:type="continuationSeparator" w:id="0">
    <w:p w14:paraId="4601C35F" w14:textId="77777777" w:rsidR="002B5224" w:rsidRDefault="002B5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9BDFD" w14:textId="77777777" w:rsidR="002E7B24" w:rsidRDefault="002E7B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0FABC" w14:textId="77777777" w:rsidR="002E7B24" w:rsidRDefault="002B5224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711FF0DC" w14:textId="77777777" w:rsidR="002E7B24" w:rsidRDefault="002E7B2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74A87" w14:textId="77777777" w:rsidR="002E7B24" w:rsidRDefault="002B5224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01F2FD08" w14:textId="77777777" w:rsidR="002E7B24" w:rsidRDefault="002E7B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74B6F" w14:textId="77777777" w:rsidR="002B5224" w:rsidRDefault="002B5224">
      <w:pPr>
        <w:rPr>
          <w:sz w:val="12"/>
        </w:rPr>
      </w:pPr>
      <w:r>
        <w:separator/>
      </w:r>
    </w:p>
  </w:footnote>
  <w:footnote w:type="continuationSeparator" w:id="0">
    <w:p w14:paraId="5471EA98" w14:textId="77777777" w:rsidR="002B5224" w:rsidRDefault="002B5224">
      <w:pPr>
        <w:rPr>
          <w:sz w:val="12"/>
        </w:rPr>
      </w:pPr>
      <w:r>
        <w:continuationSeparator/>
      </w:r>
    </w:p>
  </w:footnote>
  <w:footnote w:id="1">
    <w:p w14:paraId="538465A5" w14:textId="77777777" w:rsidR="002E7B24" w:rsidRDefault="002B5224">
      <w:pPr>
        <w:pStyle w:val="Tekstprzypisudolnego"/>
      </w:pPr>
      <w:r>
        <w:rPr>
          <w:rStyle w:val="Znakiprzypiswdolnych"/>
        </w:rPr>
        <w:footnoteRef/>
      </w:r>
      <w:r>
        <w:tab/>
        <w:t xml:space="preserve"> </w:t>
      </w:r>
      <w:r>
        <w:rPr>
          <w:i/>
        </w:rPr>
        <w:t xml:space="preserve">Proszę zaznaczyć znakiem X w tabeli odpowiedź na wybrane </w:t>
      </w:r>
      <w:r>
        <w:rPr>
          <w:i/>
        </w:rPr>
        <w:t>pytanie.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CF6AF" w14:textId="77777777" w:rsidR="002E7B24" w:rsidRDefault="002E7B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1C764" w14:textId="77777777" w:rsidR="002E7B24" w:rsidRDefault="002E7B24">
    <w:pPr>
      <w:jc w:val="right"/>
      <w:rPr>
        <w:rFonts w:ascii="Georgia" w:hAnsi="Georgia"/>
        <w:b/>
        <w:bCs/>
        <w:color w:val="000000"/>
        <w:sz w:val="20"/>
        <w:szCs w:val="20"/>
      </w:rPr>
    </w:pPr>
  </w:p>
  <w:p w14:paraId="079B005A" w14:textId="77777777" w:rsidR="002E7B24" w:rsidRDefault="002E7B24">
    <w:pPr>
      <w:jc w:val="right"/>
      <w:rPr>
        <w:rFonts w:ascii="Georgia" w:hAnsi="Georgia"/>
        <w:b/>
        <w:bCs/>
        <w:color w:val="000000"/>
        <w:sz w:val="20"/>
        <w:szCs w:val="20"/>
      </w:rPr>
    </w:pPr>
  </w:p>
  <w:p w14:paraId="606938F0" w14:textId="77777777" w:rsidR="002E7B24" w:rsidRDefault="002B5224">
    <w:pPr>
      <w:pStyle w:val="Tekstpodstawowy"/>
      <w:jc w:val="left"/>
      <w:rPr>
        <w:rFonts w:ascii="Georgia" w:hAnsi="Georgia"/>
        <w:bCs/>
        <w:color w:val="000000"/>
        <w:sz w:val="20"/>
      </w:rPr>
    </w:pPr>
    <w:r>
      <w:rPr>
        <w:rFonts w:ascii="Georgia" w:hAnsi="Georgia" w:cstheme="minorHAnsi"/>
        <w:color w:val="111111"/>
        <w:sz w:val="20"/>
      </w:rPr>
      <w:t>Nr LWOK. 1101.1.2025</w:t>
    </w:r>
  </w:p>
  <w:p w14:paraId="3FBA2A87" w14:textId="77777777" w:rsidR="002E7B24" w:rsidRDefault="002E7B24">
    <w:pPr>
      <w:shd w:val="clear" w:color="auto" w:fill="FFFFFF"/>
      <w:jc w:val="both"/>
      <w:rPr>
        <w:rFonts w:ascii="Georgia" w:hAnsi="Georgia"/>
        <w:b/>
        <w:bCs/>
        <w:color w:val="000000"/>
        <w:sz w:val="20"/>
        <w:szCs w:val="20"/>
      </w:rPr>
    </w:pPr>
  </w:p>
  <w:p w14:paraId="63FE40A0" w14:textId="77777777" w:rsidR="002E7B24" w:rsidRDefault="002B5224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 xml:space="preserve">KONKURS NA ASYSTENTA SĘDZIEGO </w:t>
    </w:r>
  </w:p>
  <w:p w14:paraId="2C02342F" w14:textId="77777777" w:rsidR="002E7B24" w:rsidRDefault="002B5224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>w Sądzie Rejonowym Lublin-Wschód w Lublinie z siedzibą w Świdniku</w:t>
    </w:r>
  </w:p>
  <w:p w14:paraId="6B98C4CA" w14:textId="77777777" w:rsidR="002E7B24" w:rsidRDefault="002B5224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>przeprowadzany w dniu 18 lutego 2025 roku</w:t>
    </w:r>
  </w:p>
  <w:p w14:paraId="5EC271CB" w14:textId="77777777" w:rsidR="002E7B24" w:rsidRDefault="002E7B24">
    <w:pPr>
      <w:pStyle w:val="Nagwek"/>
    </w:pPr>
  </w:p>
  <w:p w14:paraId="64944EB0" w14:textId="77777777" w:rsidR="002E7B24" w:rsidRDefault="002E7B24">
    <w:pPr>
      <w:pStyle w:val="Tekstpodstawowy"/>
    </w:pPr>
  </w:p>
  <w:p w14:paraId="289B9CE4" w14:textId="77777777" w:rsidR="002E7B24" w:rsidRDefault="002E7B24">
    <w:pPr>
      <w:pStyle w:val="Tekstpodstawowy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89746" w14:textId="77777777" w:rsidR="002E7B24" w:rsidRDefault="002E7B24">
    <w:pPr>
      <w:jc w:val="right"/>
      <w:rPr>
        <w:rFonts w:ascii="Georgia" w:hAnsi="Georgia"/>
        <w:b/>
        <w:bCs/>
        <w:color w:val="000000"/>
        <w:sz w:val="20"/>
        <w:szCs w:val="20"/>
      </w:rPr>
    </w:pPr>
  </w:p>
  <w:p w14:paraId="75E02F45" w14:textId="77777777" w:rsidR="002E7B24" w:rsidRDefault="002B5224">
    <w:pPr>
      <w:jc w:val="right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>Imię i nazwisko kandydata</w:t>
    </w:r>
  </w:p>
  <w:p w14:paraId="348257EA" w14:textId="77777777" w:rsidR="002E7B24" w:rsidRDefault="002E7B24">
    <w:pPr>
      <w:jc w:val="right"/>
      <w:rPr>
        <w:rFonts w:ascii="Georgia" w:hAnsi="Georgia"/>
        <w:b/>
        <w:bCs/>
        <w:color w:val="000000"/>
        <w:sz w:val="20"/>
        <w:szCs w:val="20"/>
      </w:rPr>
    </w:pPr>
  </w:p>
  <w:p w14:paraId="07736A94" w14:textId="77777777" w:rsidR="002E7B24" w:rsidRDefault="002B5224">
    <w:pPr>
      <w:jc w:val="right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>………………………………………………………..</w:t>
    </w:r>
  </w:p>
  <w:p w14:paraId="71CC5693" w14:textId="77777777" w:rsidR="002E7B24" w:rsidRDefault="002B5224">
    <w:pPr>
      <w:pStyle w:val="Tekstpodstawowy"/>
      <w:jc w:val="left"/>
      <w:rPr>
        <w:rFonts w:ascii="Georgia" w:hAnsi="Georgia"/>
        <w:bCs/>
        <w:color w:val="000000"/>
        <w:sz w:val="20"/>
      </w:rPr>
    </w:pPr>
    <w:r>
      <w:rPr>
        <w:rFonts w:ascii="Georgia" w:hAnsi="Georgia" w:cstheme="minorHAnsi"/>
        <w:color w:val="111111"/>
        <w:sz w:val="20"/>
      </w:rPr>
      <w:t xml:space="preserve">Nr LWOK. </w:t>
    </w:r>
    <w:r>
      <w:rPr>
        <w:rFonts w:ascii="Georgia" w:hAnsi="Georgia" w:cstheme="minorHAnsi"/>
        <w:color w:val="111111"/>
        <w:sz w:val="20"/>
      </w:rPr>
      <w:t>1101.1.2025</w:t>
    </w:r>
  </w:p>
  <w:p w14:paraId="4722490D" w14:textId="77777777" w:rsidR="002E7B24" w:rsidRDefault="002E7B24">
    <w:pPr>
      <w:shd w:val="clear" w:color="auto" w:fill="FFFFFF"/>
      <w:jc w:val="both"/>
      <w:rPr>
        <w:rFonts w:ascii="Georgia" w:hAnsi="Georgia"/>
        <w:b/>
        <w:bCs/>
        <w:color w:val="000000"/>
        <w:sz w:val="20"/>
        <w:szCs w:val="20"/>
      </w:rPr>
    </w:pPr>
  </w:p>
  <w:p w14:paraId="0959571C" w14:textId="77777777" w:rsidR="002E7B24" w:rsidRDefault="002B5224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 xml:space="preserve">KONKURS NA ASYSTENTA SĘDZIEGO </w:t>
    </w:r>
  </w:p>
  <w:p w14:paraId="436F896A" w14:textId="77777777" w:rsidR="002E7B24" w:rsidRDefault="002B5224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>w Sądzie Rejonowym Lublin-Wschód w Lublinie z siedzibą w Świdniku</w:t>
    </w:r>
  </w:p>
  <w:p w14:paraId="28F782D9" w14:textId="77777777" w:rsidR="002E7B24" w:rsidRDefault="002B5224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>przeprowadzany w dniu 18 lutego 2025 roku</w:t>
    </w:r>
  </w:p>
  <w:p w14:paraId="3A63826B" w14:textId="77777777" w:rsidR="002E7B24" w:rsidRDefault="002E7B24">
    <w:pPr>
      <w:pStyle w:val="Nagwek"/>
    </w:pPr>
  </w:p>
  <w:p w14:paraId="168F1692" w14:textId="77777777" w:rsidR="002E7B24" w:rsidRDefault="002E7B24">
    <w:pPr>
      <w:pStyle w:val="Tekstpodstawowy"/>
    </w:pPr>
  </w:p>
  <w:p w14:paraId="0A618E66" w14:textId="77777777" w:rsidR="002E7B24" w:rsidRDefault="002E7B24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331BD"/>
    <w:multiLevelType w:val="multilevel"/>
    <w:tmpl w:val="A2087B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E22516"/>
    <w:multiLevelType w:val="multilevel"/>
    <w:tmpl w:val="D7EE614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Georgia" w:hAnsi="Georgia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9B974B1"/>
    <w:multiLevelType w:val="multilevel"/>
    <w:tmpl w:val="E69EE4F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4B262DEE"/>
    <w:multiLevelType w:val="multilevel"/>
    <w:tmpl w:val="A2F870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B24"/>
    <w:rsid w:val="002B5224"/>
    <w:rsid w:val="002E7B24"/>
    <w:rsid w:val="005B0FA7"/>
    <w:rsid w:val="006F7039"/>
    <w:rsid w:val="00816C44"/>
    <w:rsid w:val="009F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87F3C"/>
  <w15:docId w15:val="{F4B5780A-82BB-4D50-99B0-260A2490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u w:val="none"/>
    </w:rPr>
  </w:style>
  <w:style w:type="character" w:customStyle="1" w:styleId="WW8Num3z0">
    <w:name w:val="WW8Num3z0"/>
    <w:qFormat/>
    <w:rPr>
      <w:u w:val="none"/>
    </w:rPr>
  </w:style>
  <w:style w:type="character" w:customStyle="1" w:styleId="WW8Num4z0">
    <w:name w:val="WW8Num4z0"/>
    <w:qFormat/>
    <w:rPr>
      <w:u w:val="none"/>
    </w:rPr>
  </w:style>
  <w:style w:type="character" w:customStyle="1" w:styleId="WW8Num5z0">
    <w:name w:val="WW8Num5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7z0">
    <w:name w:val="WW8Num7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9z0">
    <w:name w:val="WW8Num9z0"/>
    <w:qFormat/>
    <w:rPr>
      <w:rFonts w:ascii="Georgia" w:hAnsi="Georgia" w:cs="Times New Roman"/>
      <w:color w:val="000000"/>
      <w:sz w:val="24"/>
      <w:szCs w:val="24"/>
      <w:lang w:val="pl-PL"/>
    </w:rPr>
  </w:style>
  <w:style w:type="character" w:customStyle="1" w:styleId="WW8Num10z0">
    <w:name w:val="WW8Num10z0"/>
    <w:qFormat/>
    <w:rPr>
      <w:rFonts w:ascii="Georgia" w:hAnsi="Georgia" w:cs="Times New Roman"/>
      <w:color w:val="000000"/>
      <w:sz w:val="24"/>
      <w:szCs w:val="24"/>
      <w:lang w:val="pl-PL"/>
    </w:rPr>
  </w:style>
  <w:style w:type="character" w:customStyle="1" w:styleId="WW8Num11z1">
    <w:name w:val="WW8Num11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3z0">
    <w:name w:val="WW8Num13z0"/>
    <w:qFormat/>
    <w:rPr>
      <w:u w:val="none"/>
    </w:rPr>
  </w:style>
  <w:style w:type="character" w:customStyle="1" w:styleId="WW8Num15z1">
    <w:name w:val="WW8Num15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6z0">
    <w:name w:val="WW8Num16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8z0">
    <w:name w:val="WW8Num18z0"/>
    <w:qFormat/>
    <w:rPr>
      <w:color w:val="000000"/>
      <w:sz w:val="24"/>
      <w:szCs w:val="24"/>
    </w:rPr>
  </w:style>
  <w:style w:type="character" w:customStyle="1" w:styleId="WW8Num19z0">
    <w:name w:val="WW8Num19z0"/>
    <w:qFormat/>
    <w:rPr>
      <w:color w:val="000000"/>
      <w:sz w:val="24"/>
      <w:szCs w:val="24"/>
    </w:rPr>
  </w:style>
  <w:style w:type="character" w:customStyle="1" w:styleId="WW8Num20z0">
    <w:name w:val="WW8Num20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1z0">
    <w:name w:val="WW8Num21z0"/>
    <w:qFormat/>
    <w:rPr>
      <w:color w:val="000000"/>
      <w:sz w:val="24"/>
      <w:szCs w:val="24"/>
    </w:rPr>
  </w:style>
  <w:style w:type="character" w:customStyle="1" w:styleId="WW8Num22z0">
    <w:name w:val="WW8Num22z0"/>
    <w:qFormat/>
    <w:rPr>
      <w:u w:val="none"/>
    </w:rPr>
  </w:style>
  <w:style w:type="character" w:customStyle="1" w:styleId="WW8Num22z1">
    <w:name w:val="WW8Num22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3z0">
    <w:name w:val="WW8Num23z0"/>
    <w:qFormat/>
    <w:rPr>
      <w:rFonts w:ascii="Georgia" w:hAnsi="Georgia"/>
      <w:b/>
    </w:rPr>
  </w:style>
  <w:style w:type="character" w:customStyle="1" w:styleId="WW8Num24z0">
    <w:name w:val="WW8Num24z0"/>
    <w:qFormat/>
    <w:rPr>
      <w:u w:val="none"/>
    </w:rPr>
  </w:style>
  <w:style w:type="character" w:customStyle="1" w:styleId="WW8Num25z0">
    <w:name w:val="WW8Num25z0"/>
    <w:qFormat/>
    <w:rPr>
      <w:u w:val="none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6z0">
    <w:name w:val="WW8Num6z0"/>
    <w:qFormat/>
    <w:rPr>
      <w:u w:val="none"/>
    </w:rPr>
  </w:style>
  <w:style w:type="character" w:customStyle="1" w:styleId="WW8Num8z0">
    <w:name w:val="WW8Num8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1z0">
    <w:name w:val="WW8Num11z0"/>
    <w:qFormat/>
    <w:rPr>
      <w:u w:val="none"/>
    </w:rPr>
  </w:style>
  <w:style w:type="character" w:customStyle="1" w:styleId="WW8Num12z1">
    <w:name w:val="WW8Num12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4z0">
    <w:name w:val="WW8Num14z0"/>
    <w:qFormat/>
    <w:rPr>
      <w:u w:val="none"/>
    </w:rPr>
  </w:style>
  <w:style w:type="character" w:customStyle="1" w:styleId="WW8Num16z1">
    <w:name w:val="WW8Num16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7z0">
    <w:name w:val="WW8Num17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3z1">
    <w:name w:val="WW8Num23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6z0">
    <w:name w:val="WW8Num26z0"/>
    <w:qFormat/>
    <w:rPr>
      <w:u w:val="none"/>
    </w:rPr>
  </w:style>
  <w:style w:type="character" w:customStyle="1" w:styleId="WW8Num27z0">
    <w:name w:val="WW8Num27z0"/>
    <w:qFormat/>
    <w:rPr>
      <w:u w:val="none"/>
    </w:rPr>
  </w:style>
  <w:style w:type="character" w:customStyle="1" w:styleId="Domylnaczcionkaakapitu1">
    <w:name w:val="Domyślna czcionka akapitu1"/>
    <w:qFormat/>
  </w:style>
  <w:style w:type="character" w:customStyle="1" w:styleId="TekstprzypisudolnegoZnak">
    <w:name w:val="Tekst przypisu dolnego Znak"/>
    <w:basedOn w:val="Domylnaczcionkaakapitu1"/>
    <w:qFormat/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TekstpodstawowyZnak">
    <w:name w:val="Tekst podstawowy Znak"/>
    <w:qFormat/>
    <w:rPr>
      <w:b/>
      <w:sz w:val="22"/>
    </w:rPr>
  </w:style>
  <w:style w:type="character" w:customStyle="1" w:styleId="NagwekZnak">
    <w:name w:val="Nagłówek Znak"/>
    <w:qFormat/>
    <w:rPr>
      <w:sz w:val="24"/>
      <w:szCs w:val="24"/>
    </w:rPr>
  </w:style>
  <w:style w:type="character" w:customStyle="1" w:styleId="StopkaZnak">
    <w:name w:val="Stopka Znak"/>
    <w:qFormat/>
    <w:rPr>
      <w:sz w:val="24"/>
      <w:szCs w:val="24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WW-Znakiprzypiswkocowych">
    <w:name w:val="WW-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Wyrnieniedelikatne">
    <w:name w:val="Subtle Emphasis"/>
    <w:uiPriority w:val="19"/>
    <w:qFormat/>
    <w:rsid w:val="003862D8"/>
    <w:rPr>
      <w:i/>
      <w:iCs/>
      <w:color w:val="808080"/>
    </w:rPr>
  </w:style>
  <w:style w:type="character" w:customStyle="1" w:styleId="czeinternetowe">
    <w:name w:val="Łącze internetowe"/>
    <w:uiPriority w:val="99"/>
    <w:unhideWhenUsed/>
    <w:rsid w:val="00252672"/>
    <w:rPr>
      <w:color w:val="0000FF"/>
      <w:u w:val="single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both"/>
    </w:pPr>
    <w:rPr>
      <w:b/>
      <w:sz w:val="22"/>
      <w:szCs w:val="20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</w:pPr>
    <w:rPr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 w:val="0"/>
    </w:pPr>
    <w:rPr>
      <w:rFonts w:eastAsiaTheme="minorHAnsi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BCFFC-0746-46EC-A3AF-40DEBACC8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21</Pages>
  <Words>3862</Words>
  <Characters>23177</Characters>
  <Application>Microsoft Office Word</Application>
  <DocSecurity>0</DocSecurity>
  <Lines>193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dc:description/>
  <cp:lastModifiedBy>Starosławski Patryk</cp:lastModifiedBy>
  <cp:revision>4</cp:revision>
  <cp:lastPrinted>2012-08-20T15:04:00Z</cp:lastPrinted>
  <dcterms:created xsi:type="dcterms:W3CDTF">2025-02-17T09:48:00Z</dcterms:created>
  <dcterms:modified xsi:type="dcterms:W3CDTF">2025-02-17T09:56:00Z</dcterms:modified>
  <dc:language>pl-PL</dc:language>
</cp:coreProperties>
</file>