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6744" w:rsidRDefault="00B96744" w:rsidP="00387CF7">
      <w:pPr>
        <w:rPr>
          <w:rFonts w:asciiTheme="majorHAnsi" w:hAnsiTheme="majorHAnsi" w:cs="Times New Roman"/>
          <w:b/>
          <w:sz w:val="24"/>
          <w:szCs w:val="24"/>
        </w:rPr>
      </w:pPr>
    </w:p>
    <w:p w:rsidR="00387CF7" w:rsidRPr="008D3473" w:rsidRDefault="00FB36D6" w:rsidP="00370AF7">
      <w:pPr>
        <w:pStyle w:val="Nagwek1"/>
        <w:rPr>
          <w:rFonts w:ascii="Cambria" w:hAnsi="Cambria"/>
          <w:b/>
          <w:color w:val="000000" w:themeColor="text1"/>
          <w:sz w:val="24"/>
          <w:szCs w:val="24"/>
        </w:rPr>
      </w:pPr>
      <w:r>
        <w:rPr>
          <w:rFonts w:ascii="Cambria" w:hAnsi="Cambria"/>
          <w:b/>
          <w:color w:val="000000" w:themeColor="text1"/>
          <w:sz w:val="24"/>
          <w:szCs w:val="24"/>
        </w:rPr>
        <w:t xml:space="preserve">Numer </w:t>
      </w:r>
      <w:r w:rsidR="00FC4E90">
        <w:rPr>
          <w:rFonts w:ascii="Cambria" w:hAnsi="Cambria"/>
          <w:b/>
          <w:color w:val="000000" w:themeColor="text1"/>
          <w:sz w:val="24"/>
          <w:szCs w:val="24"/>
        </w:rPr>
        <w:t>…………</w:t>
      </w:r>
    </w:p>
    <w:p w:rsidR="005D6371" w:rsidRPr="005D6371" w:rsidRDefault="005D6371" w:rsidP="005D6371"/>
    <w:p w:rsidR="00387CF7" w:rsidRPr="00C442F6" w:rsidRDefault="00387CF7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 w:rsidRPr="00C442F6">
        <w:rPr>
          <w:rFonts w:ascii="Cambria" w:hAnsi="Cambria" w:cs="Times New Roman"/>
          <w:b/>
          <w:sz w:val="28"/>
          <w:szCs w:val="28"/>
        </w:rPr>
        <w:t>Konkurs</w:t>
      </w:r>
    </w:p>
    <w:p w:rsidR="00387CF7" w:rsidRPr="00C442F6" w:rsidRDefault="00387CF7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 w:rsidRPr="00C442F6">
        <w:rPr>
          <w:rFonts w:ascii="Cambria" w:hAnsi="Cambria" w:cs="Times New Roman"/>
          <w:b/>
          <w:sz w:val="28"/>
          <w:szCs w:val="28"/>
        </w:rPr>
        <w:t>dla kandydatów na asystenta sędziego</w:t>
      </w:r>
    </w:p>
    <w:p w:rsidR="00387CF7" w:rsidRPr="00C442F6" w:rsidRDefault="002103E3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>
        <w:rPr>
          <w:rFonts w:ascii="Cambria" w:hAnsi="Cambria" w:cs="Times New Roman"/>
          <w:b/>
          <w:sz w:val="28"/>
          <w:szCs w:val="28"/>
        </w:rPr>
        <w:t xml:space="preserve"> w </w:t>
      </w:r>
      <w:r w:rsidR="00387CF7" w:rsidRPr="00C442F6">
        <w:rPr>
          <w:rFonts w:ascii="Cambria" w:hAnsi="Cambria" w:cs="Times New Roman"/>
          <w:b/>
          <w:sz w:val="28"/>
          <w:szCs w:val="28"/>
        </w:rPr>
        <w:t>Sąd</w:t>
      </w:r>
      <w:r>
        <w:rPr>
          <w:rFonts w:ascii="Cambria" w:hAnsi="Cambria" w:cs="Times New Roman"/>
          <w:b/>
          <w:sz w:val="28"/>
          <w:szCs w:val="28"/>
        </w:rPr>
        <w:t xml:space="preserve">zie </w:t>
      </w:r>
      <w:r w:rsidR="00387CF7" w:rsidRPr="00C442F6">
        <w:rPr>
          <w:rFonts w:ascii="Cambria" w:hAnsi="Cambria" w:cs="Times New Roman"/>
          <w:b/>
          <w:sz w:val="28"/>
          <w:szCs w:val="28"/>
        </w:rPr>
        <w:t xml:space="preserve"> Okręgow</w:t>
      </w:r>
      <w:r>
        <w:rPr>
          <w:rFonts w:ascii="Cambria" w:hAnsi="Cambria" w:cs="Times New Roman"/>
          <w:b/>
          <w:sz w:val="28"/>
          <w:szCs w:val="28"/>
        </w:rPr>
        <w:t>ym</w:t>
      </w:r>
      <w:r w:rsidR="00387CF7" w:rsidRPr="00C442F6">
        <w:rPr>
          <w:rFonts w:ascii="Cambria" w:hAnsi="Cambria" w:cs="Times New Roman"/>
          <w:b/>
          <w:sz w:val="28"/>
          <w:szCs w:val="28"/>
        </w:rPr>
        <w:t xml:space="preserve"> w Siedlcach</w:t>
      </w:r>
    </w:p>
    <w:p w:rsidR="002103E3" w:rsidRDefault="002103E3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>
        <w:rPr>
          <w:rFonts w:ascii="Cambria" w:hAnsi="Cambria" w:cs="Times New Roman"/>
          <w:b/>
          <w:sz w:val="28"/>
          <w:szCs w:val="28"/>
        </w:rPr>
        <w:t xml:space="preserve">przeprowadzony </w:t>
      </w:r>
    </w:p>
    <w:p w:rsidR="00387CF7" w:rsidRPr="00C442F6" w:rsidRDefault="00387CF7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 w:rsidRPr="00C442F6">
        <w:rPr>
          <w:rFonts w:ascii="Cambria" w:hAnsi="Cambria" w:cs="Times New Roman"/>
          <w:b/>
          <w:sz w:val="28"/>
          <w:szCs w:val="28"/>
        </w:rPr>
        <w:t xml:space="preserve"> w dniu </w:t>
      </w:r>
      <w:r w:rsidR="00DC4DFD">
        <w:rPr>
          <w:rFonts w:ascii="Cambria" w:hAnsi="Cambria" w:cs="Times New Roman"/>
          <w:b/>
          <w:sz w:val="28"/>
          <w:szCs w:val="28"/>
        </w:rPr>
        <w:t>1</w:t>
      </w:r>
      <w:r w:rsidR="00827C7E">
        <w:rPr>
          <w:rFonts w:ascii="Cambria" w:hAnsi="Cambria" w:cs="Times New Roman"/>
          <w:b/>
          <w:sz w:val="28"/>
          <w:szCs w:val="28"/>
        </w:rPr>
        <w:t>1 września</w:t>
      </w:r>
      <w:r w:rsidR="00DC4DFD">
        <w:rPr>
          <w:rFonts w:ascii="Cambria" w:hAnsi="Cambria" w:cs="Times New Roman"/>
          <w:b/>
          <w:sz w:val="28"/>
          <w:szCs w:val="28"/>
        </w:rPr>
        <w:t xml:space="preserve"> 2024 </w:t>
      </w:r>
      <w:r w:rsidRPr="00C442F6">
        <w:rPr>
          <w:rFonts w:ascii="Cambria" w:hAnsi="Cambria" w:cs="Times New Roman"/>
          <w:b/>
          <w:sz w:val="28"/>
          <w:szCs w:val="28"/>
        </w:rPr>
        <w:t xml:space="preserve"> roku</w:t>
      </w:r>
    </w:p>
    <w:p w:rsidR="00387CF7" w:rsidRPr="00C442F6" w:rsidRDefault="00387CF7" w:rsidP="00387CF7">
      <w:pPr>
        <w:jc w:val="center"/>
        <w:rPr>
          <w:rFonts w:ascii="Cambria" w:hAnsi="Cambria" w:cs="Times New Roman"/>
          <w:sz w:val="36"/>
          <w:szCs w:val="36"/>
        </w:rPr>
      </w:pPr>
    </w:p>
    <w:p w:rsidR="00387CF7" w:rsidRPr="00C442F6" w:rsidRDefault="00387CF7" w:rsidP="00107A2F">
      <w:pPr>
        <w:jc w:val="both"/>
        <w:rPr>
          <w:rFonts w:ascii="Cambria" w:hAnsi="Cambria" w:cs="Times New Roman"/>
          <w:sz w:val="36"/>
          <w:szCs w:val="36"/>
        </w:rPr>
      </w:pPr>
    </w:p>
    <w:p w:rsidR="00387CF7" w:rsidRPr="00C442F6" w:rsidRDefault="00387CF7" w:rsidP="00107A2F">
      <w:pPr>
        <w:jc w:val="both"/>
        <w:rPr>
          <w:rFonts w:ascii="Cambria" w:hAnsi="Cambria" w:cs="Times New Roman"/>
          <w:sz w:val="36"/>
          <w:szCs w:val="36"/>
        </w:rPr>
      </w:pPr>
    </w:p>
    <w:p w:rsidR="00387CF7" w:rsidRPr="00C442F6" w:rsidRDefault="00387CF7" w:rsidP="00107A2F">
      <w:pPr>
        <w:ind w:left="720"/>
        <w:contextualSpacing/>
        <w:jc w:val="both"/>
        <w:rPr>
          <w:rFonts w:ascii="Cambria" w:hAnsi="Cambria" w:cs="Times New Roman"/>
          <w:b/>
          <w:sz w:val="32"/>
          <w:szCs w:val="32"/>
        </w:rPr>
      </w:pPr>
    </w:p>
    <w:p w:rsidR="00387CF7" w:rsidRPr="00C442F6" w:rsidRDefault="00387CF7" w:rsidP="00107A2F">
      <w:pPr>
        <w:ind w:left="720"/>
        <w:contextualSpacing/>
        <w:jc w:val="both"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107A2F">
      <w:pPr>
        <w:spacing w:line="480" w:lineRule="auto"/>
        <w:ind w:left="720"/>
        <w:contextualSpacing/>
        <w:jc w:val="both"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107A2F">
      <w:pPr>
        <w:spacing w:line="480" w:lineRule="auto"/>
        <w:ind w:left="720"/>
        <w:contextualSpacing/>
        <w:jc w:val="both"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107A2F">
      <w:pPr>
        <w:spacing w:line="480" w:lineRule="auto"/>
        <w:ind w:left="720"/>
        <w:contextualSpacing/>
        <w:jc w:val="both"/>
        <w:rPr>
          <w:rFonts w:ascii="Cambria" w:hAnsi="Cambria" w:cs="Times New Roman"/>
          <w:b/>
          <w:sz w:val="28"/>
          <w:szCs w:val="28"/>
        </w:rPr>
      </w:pPr>
    </w:p>
    <w:p w:rsidR="00374BB8" w:rsidRDefault="00374BB8" w:rsidP="00107A2F">
      <w:pPr>
        <w:pStyle w:val="Tekstpodstawowyzwciciem2"/>
        <w:jc w:val="both"/>
        <w:rPr>
          <w:rFonts w:ascii="Cambria" w:hAnsi="Cambria"/>
          <w:b/>
        </w:rPr>
      </w:pPr>
    </w:p>
    <w:p w:rsidR="00374BB8" w:rsidRDefault="00374BB8" w:rsidP="00107A2F">
      <w:pPr>
        <w:pStyle w:val="Tekstpodstawowyzwciciem2"/>
        <w:jc w:val="both"/>
        <w:rPr>
          <w:rFonts w:ascii="Cambria" w:hAnsi="Cambria"/>
          <w:b/>
        </w:rPr>
      </w:pPr>
    </w:p>
    <w:p w:rsidR="00387CF7" w:rsidRPr="00C442F6" w:rsidRDefault="002538A4" w:rsidP="00107A2F">
      <w:pPr>
        <w:pStyle w:val="Tekstpodstawowyzwciciem2"/>
        <w:jc w:val="center"/>
        <w:rPr>
          <w:rFonts w:ascii="Cambria" w:hAnsi="Cambria"/>
          <w:b/>
        </w:rPr>
      </w:pPr>
      <w:r w:rsidRPr="00C442F6">
        <w:rPr>
          <w:rFonts w:ascii="Cambria" w:hAnsi="Cambria"/>
          <w:b/>
        </w:rPr>
        <w:t>CZĘŚĆ   PIERWSZA - TEST</w:t>
      </w:r>
    </w:p>
    <w:p w:rsidR="00B96744" w:rsidRPr="00C442F6" w:rsidRDefault="00B96744" w:rsidP="00107A2F">
      <w:pPr>
        <w:spacing w:line="480" w:lineRule="auto"/>
        <w:ind w:left="720"/>
        <w:contextualSpacing/>
        <w:jc w:val="both"/>
        <w:rPr>
          <w:rFonts w:ascii="Cambria" w:hAnsi="Cambria" w:cs="Times New Roman"/>
          <w:b/>
          <w:sz w:val="28"/>
          <w:szCs w:val="28"/>
          <w:u w:val="single"/>
        </w:rPr>
      </w:pPr>
    </w:p>
    <w:p w:rsidR="00387CF7" w:rsidRPr="00C442F6" w:rsidRDefault="00387CF7" w:rsidP="00107A2F">
      <w:pPr>
        <w:pStyle w:val="Nagwek2"/>
        <w:jc w:val="both"/>
        <w:rPr>
          <w:rFonts w:ascii="Cambria" w:hAnsi="Cambria"/>
          <w:color w:val="auto"/>
        </w:rPr>
      </w:pPr>
      <w:r w:rsidRPr="00C442F6">
        <w:rPr>
          <w:rFonts w:ascii="Cambria" w:hAnsi="Cambria"/>
          <w:color w:val="auto"/>
        </w:rPr>
        <w:t>Pouczenie</w:t>
      </w:r>
    </w:p>
    <w:p w:rsidR="00387CF7" w:rsidRPr="00C442F6" w:rsidRDefault="00387CF7" w:rsidP="00107A2F">
      <w:pPr>
        <w:pStyle w:val="Lista2"/>
        <w:numPr>
          <w:ilvl w:val="0"/>
          <w:numId w:val="1"/>
        </w:numPr>
        <w:jc w:val="both"/>
        <w:rPr>
          <w:rFonts w:ascii="Cambria" w:hAnsi="Cambria"/>
        </w:rPr>
      </w:pPr>
      <w:r w:rsidRPr="00C442F6">
        <w:rPr>
          <w:rFonts w:ascii="Cambria" w:hAnsi="Cambria"/>
        </w:rPr>
        <w:t>Test liczy 36 pytań. Odpowiedzi prawidłowe należy zaznaczyć przez zakreślenie właściwego podpunktu w tekście testu.</w:t>
      </w:r>
    </w:p>
    <w:p w:rsidR="00387CF7" w:rsidRPr="00C442F6" w:rsidRDefault="00387CF7" w:rsidP="00107A2F">
      <w:pPr>
        <w:pStyle w:val="Lista2"/>
        <w:numPr>
          <w:ilvl w:val="0"/>
          <w:numId w:val="1"/>
        </w:numPr>
        <w:jc w:val="both"/>
        <w:rPr>
          <w:rFonts w:ascii="Cambria" w:hAnsi="Cambria"/>
        </w:rPr>
      </w:pPr>
      <w:r w:rsidRPr="00C442F6">
        <w:rPr>
          <w:rFonts w:ascii="Cambria" w:hAnsi="Cambria"/>
        </w:rPr>
        <w:t>Na każde pytanie tylko jedna odpowiedź jest prawidłowa.  Za każdą prawidłową odpowiedź otrzymuje się  1 punkt.</w:t>
      </w:r>
    </w:p>
    <w:p w:rsidR="00941803" w:rsidRPr="00C442F6" w:rsidRDefault="00941803" w:rsidP="00107A2F">
      <w:pPr>
        <w:pStyle w:val="Lista2"/>
        <w:jc w:val="both"/>
        <w:rPr>
          <w:rFonts w:ascii="Cambria" w:hAnsi="Cambria"/>
        </w:rPr>
      </w:pPr>
    </w:p>
    <w:p w:rsidR="00941803" w:rsidRPr="00C442F6" w:rsidRDefault="00941803" w:rsidP="00107A2F">
      <w:pPr>
        <w:pStyle w:val="Lista2"/>
        <w:jc w:val="both"/>
        <w:rPr>
          <w:rFonts w:ascii="Cambria" w:hAnsi="Cambria"/>
        </w:rPr>
      </w:pPr>
    </w:p>
    <w:p w:rsidR="00941803" w:rsidRDefault="00941803" w:rsidP="00107A2F">
      <w:pPr>
        <w:pStyle w:val="Lista2"/>
        <w:jc w:val="both"/>
        <w:rPr>
          <w:rFonts w:ascii="Cambria" w:hAnsi="Cambria"/>
        </w:rPr>
      </w:pPr>
    </w:p>
    <w:p w:rsidR="00A675CC" w:rsidRDefault="00A675CC" w:rsidP="00107A2F">
      <w:pPr>
        <w:pStyle w:val="Lista2"/>
        <w:jc w:val="both"/>
        <w:rPr>
          <w:rFonts w:ascii="Cambria" w:hAnsi="Cambria"/>
        </w:rPr>
      </w:pPr>
    </w:p>
    <w:p w:rsidR="00850C8C" w:rsidRDefault="004D4381" w:rsidP="00107A2F">
      <w:pPr>
        <w:pStyle w:val="Tekstpodstawowy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                            </w:t>
      </w:r>
    </w:p>
    <w:p w:rsidR="004D70B1" w:rsidRDefault="004D70B1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</w:p>
    <w:p w:rsidR="00827C7E" w:rsidRPr="00107A2F" w:rsidRDefault="00827C7E" w:rsidP="00107A2F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155737">
        <w:rPr>
          <w:rFonts w:asciiTheme="majorHAnsi" w:hAnsiTheme="majorHAnsi"/>
          <w:b/>
        </w:rPr>
        <w:t xml:space="preserve">1. </w:t>
      </w:r>
      <w:r w:rsidRPr="00107A2F">
        <w:rPr>
          <w:rFonts w:asciiTheme="majorHAnsi" w:hAnsiTheme="majorHAnsi"/>
          <w:b/>
        </w:rPr>
        <w:t>Kodeks cywilny reguluje</w:t>
      </w:r>
      <w:r w:rsidRPr="00107A2F">
        <w:rPr>
          <w:rFonts w:asciiTheme="majorHAnsi" w:hAnsiTheme="majorHAnsi"/>
        </w:rPr>
        <w:t>: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a) stosunki cywilnoprawne między osobami fizycznymi i osobami prawnymi</w:t>
      </w:r>
      <w:r w:rsidR="00921893">
        <w:rPr>
          <w:rFonts w:asciiTheme="majorHAnsi" w:hAnsiTheme="majorHAnsi"/>
        </w:rPr>
        <w:t>,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b) stosunki cywilnoprawne wyłącznie między osobami fizycznymi</w:t>
      </w:r>
      <w:r w:rsidR="00921893">
        <w:rPr>
          <w:rFonts w:asciiTheme="majorHAnsi" w:hAnsiTheme="majorHAnsi"/>
        </w:rPr>
        <w:t>,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c) stosunki cywilnoprawne wyłącznie między osobami fizycznymi i tzw. ułomnymi osobami prawnymi.</w:t>
      </w:r>
    </w:p>
    <w:p w:rsidR="00827C7E" w:rsidRPr="00107A2F" w:rsidRDefault="00827C7E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  <w:r w:rsidRPr="00107A2F">
        <w:rPr>
          <w:rFonts w:asciiTheme="majorHAnsi" w:hAnsiTheme="majorHAnsi"/>
          <w:b/>
        </w:rPr>
        <w:t>2. Czynność prawna dokonana przez osobę ubezwłasnowolnioną całkowicie jest: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a) ważna</w:t>
      </w:r>
      <w:r w:rsidR="00921893">
        <w:rPr>
          <w:rFonts w:asciiTheme="majorHAnsi" w:hAnsiTheme="majorHAnsi"/>
        </w:rPr>
        <w:t>,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b) względnie nieważna</w:t>
      </w:r>
      <w:r w:rsidR="00921893">
        <w:rPr>
          <w:rFonts w:asciiTheme="majorHAnsi" w:hAnsiTheme="majorHAnsi"/>
        </w:rPr>
        <w:t>,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c) bezwzględnie nieważna.</w:t>
      </w:r>
    </w:p>
    <w:p w:rsidR="00827C7E" w:rsidRPr="00107A2F" w:rsidRDefault="00827C7E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  <w:r w:rsidRPr="00107A2F">
        <w:rPr>
          <w:rFonts w:asciiTheme="majorHAnsi" w:hAnsiTheme="majorHAnsi"/>
          <w:b/>
        </w:rPr>
        <w:t>3. Jeżeli zawierający umowę jako organ osoby prawnej nie ma umocowania albo przekroczy jego zakres, ważność umowy zależy od: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a) jej potwierdzenia przez sąd</w:t>
      </w:r>
      <w:r w:rsidR="00921893">
        <w:rPr>
          <w:rFonts w:asciiTheme="majorHAnsi" w:hAnsiTheme="majorHAnsi"/>
        </w:rPr>
        <w:t>,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b) jej potwierdzenia przez osobę prawną, w której imieniu umowa została zawarta</w:t>
      </w:r>
      <w:r w:rsidR="00921893">
        <w:rPr>
          <w:rFonts w:asciiTheme="majorHAnsi" w:hAnsiTheme="majorHAnsi"/>
        </w:rPr>
        <w:t>,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c) wysokości świadczenia wzajemnego.</w:t>
      </w:r>
    </w:p>
    <w:p w:rsidR="00827C7E" w:rsidRPr="00107A2F" w:rsidRDefault="00827C7E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  <w:r w:rsidRPr="00107A2F">
        <w:rPr>
          <w:rFonts w:asciiTheme="majorHAnsi" w:hAnsiTheme="majorHAnsi"/>
          <w:b/>
        </w:rPr>
        <w:t>4. Zgodnie z przepisami Kodeksu cywilnego zmiana umowy: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a) może być dokonana w dowolnej formie,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b) wymaga zachowania takiej formy jaką ustawa lub strony przewidziały w celu jej zawarcia,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c) w każdym przypadku wymaga formy aktu notarialnego.</w:t>
      </w:r>
    </w:p>
    <w:p w:rsidR="00827C7E" w:rsidRPr="00107A2F" w:rsidRDefault="00827C7E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  <w:r w:rsidRPr="00107A2F">
        <w:rPr>
          <w:rFonts w:asciiTheme="majorHAnsi" w:hAnsiTheme="majorHAnsi"/>
          <w:b/>
        </w:rPr>
        <w:t>5. Obowiązek płacenia odsetek: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a) powstaje w każdym przypadku istnienia zobowiązania pieniężnego,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b) powstaje gdy wynika to z czynności prawnej albo z ustawy, z orzeczenia sądu lub z decyzji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innego właściwego organu,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c) ma wyłącznie charakter waloryzacyjny polegający na rekompensacie wierzycielowi spadku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wartości pieniądza.</w:t>
      </w:r>
    </w:p>
    <w:p w:rsidR="00827C7E" w:rsidRPr="00107A2F" w:rsidRDefault="00827C7E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  <w:r w:rsidRPr="00107A2F">
        <w:rPr>
          <w:rFonts w:asciiTheme="majorHAnsi" w:hAnsiTheme="majorHAnsi"/>
          <w:b/>
        </w:rPr>
        <w:t>6. Uzyskanie korzyści majątkowej kosztem innej osoby bez podstawy prawnej rodzi po stronie bezpodstawnie wzbogaconego obowiązek: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a) wydania korzyści wyłącznie w naturze,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b) wydania korzyści również w każdym przypadku jej zużycia,</w:t>
      </w:r>
    </w:p>
    <w:p w:rsidR="00827C7E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c) wydania korzyści bezpośrednio uzyskanej oraz tego co w zamian tej korzyści zostało</w:t>
      </w:r>
      <w:r w:rsidR="000943FE">
        <w:rPr>
          <w:rFonts w:asciiTheme="majorHAnsi" w:hAnsiTheme="majorHAnsi"/>
        </w:rPr>
        <w:t xml:space="preserve"> </w:t>
      </w:r>
      <w:r w:rsidRPr="00107A2F">
        <w:rPr>
          <w:rFonts w:asciiTheme="majorHAnsi" w:hAnsiTheme="majorHAnsi"/>
        </w:rPr>
        <w:t>uzyskane</w:t>
      </w:r>
      <w:r w:rsidR="00107A2F" w:rsidRPr="00107A2F">
        <w:rPr>
          <w:rFonts w:asciiTheme="majorHAnsi" w:hAnsiTheme="majorHAnsi"/>
        </w:rPr>
        <w:t>.</w:t>
      </w:r>
    </w:p>
    <w:p w:rsidR="000943FE" w:rsidRPr="00107A2F" w:rsidRDefault="000943FE" w:rsidP="000943FE">
      <w:pPr>
        <w:spacing w:after="0" w:line="240" w:lineRule="auto"/>
        <w:jc w:val="both"/>
        <w:rPr>
          <w:rFonts w:asciiTheme="majorHAnsi" w:hAnsiTheme="majorHAnsi"/>
        </w:rPr>
      </w:pPr>
    </w:p>
    <w:p w:rsidR="004D70B1" w:rsidRDefault="004D70B1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</w:p>
    <w:p w:rsidR="00827C7E" w:rsidRPr="00107A2F" w:rsidRDefault="00827C7E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  <w:r w:rsidRPr="00107A2F">
        <w:rPr>
          <w:rFonts w:asciiTheme="majorHAnsi" w:hAnsiTheme="majorHAnsi"/>
          <w:b/>
        </w:rPr>
        <w:lastRenderedPageBreak/>
        <w:t>7. Zgodnie z kodeksem cywilnym w przypadku niewykonania lub nienależytego wykonania</w:t>
      </w:r>
      <w:r w:rsidR="00107A2F" w:rsidRPr="00107A2F">
        <w:rPr>
          <w:rFonts w:asciiTheme="majorHAnsi" w:hAnsiTheme="majorHAnsi"/>
          <w:b/>
        </w:rPr>
        <w:t xml:space="preserve"> </w:t>
      </w:r>
      <w:r w:rsidRPr="00107A2F">
        <w:rPr>
          <w:rFonts w:asciiTheme="majorHAnsi" w:hAnsiTheme="majorHAnsi"/>
          <w:b/>
        </w:rPr>
        <w:t>zobowiązania niepieniężnego: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a) zapłata kary umownej przez dłużnika zwalnia dłużnika ze zobowiązania nawet wówczas gdy wierzyciel się na to nie zgadza,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b) wysokość kary umownej zawsze jest ustalana w oparciu o wysokość poniesionej szkody,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c) kara umowna należy się wierzycielowi w zastrzeżonej w umowie wysokości</w:t>
      </w:r>
      <w:r w:rsidR="00107A2F" w:rsidRPr="00107A2F">
        <w:rPr>
          <w:rFonts w:asciiTheme="majorHAnsi" w:hAnsiTheme="majorHAnsi"/>
        </w:rPr>
        <w:t>.</w:t>
      </w:r>
    </w:p>
    <w:p w:rsidR="00827C7E" w:rsidRPr="00107A2F" w:rsidRDefault="00827C7E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  <w:r w:rsidRPr="00107A2F">
        <w:rPr>
          <w:rFonts w:asciiTheme="majorHAnsi" w:hAnsiTheme="majorHAnsi"/>
          <w:b/>
        </w:rPr>
        <w:t>8. Jeżeli przepis szczególny nie stanowi inaczej, gdy dwie osoby są względem siebie jednocześnie dłużnikami i wierzycielami, każda z nich może potrącić swoją wierzytelność z wierzytelnością drugiej strony: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a) również w przypadku gdy przedmiotem potrącenia miałyby być świadczenia alimentacyjne,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b) co powoduje wzajemne umorzenie do wysokości wierzytelności wyższej,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c) co powoduje wzajemne umorzenie do wysokości wierzytelności niższej</w:t>
      </w:r>
      <w:r w:rsidR="00107A2F" w:rsidRPr="00107A2F">
        <w:rPr>
          <w:rFonts w:asciiTheme="majorHAnsi" w:hAnsiTheme="majorHAnsi"/>
        </w:rPr>
        <w:t>.</w:t>
      </w:r>
    </w:p>
    <w:p w:rsidR="00827C7E" w:rsidRPr="00107A2F" w:rsidRDefault="00827C7E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  <w:r w:rsidRPr="00107A2F">
        <w:rPr>
          <w:rFonts w:asciiTheme="majorHAnsi" w:hAnsiTheme="majorHAnsi"/>
          <w:b/>
        </w:rPr>
        <w:t>9. Określone przepisami prawa cywilnego terminy przedawnienia: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a) nie mogą być skracane ani przedłużane przez czynność prawną,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b) mogą być skracane, ale nie mogą być przedłużane, nawet jeżeli strona umowy wyrazi na to zgodę,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c) mogą być skrócone, jeżeli wszystkie strony umowy wyrażą na to zgodę</w:t>
      </w:r>
      <w:r w:rsidR="00107A2F" w:rsidRPr="00107A2F">
        <w:rPr>
          <w:rFonts w:asciiTheme="majorHAnsi" w:hAnsiTheme="majorHAnsi"/>
        </w:rPr>
        <w:t>.</w:t>
      </w:r>
    </w:p>
    <w:p w:rsidR="00827C7E" w:rsidRPr="00107A2F" w:rsidRDefault="00827C7E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  <w:r w:rsidRPr="00107A2F">
        <w:rPr>
          <w:rFonts w:asciiTheme="majorHAnsi" w:hAnsiTheme="majorHAnsi"/>
          <w:b/>
        </w:rPr>
        <w:t>10. Jeżeli podstawy właściwości sądu zmieniły się w toku postępowania: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a) sąd właściwy w chwili wniesienia pozwu może stać się niewłaściwy,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b) sąd właściwy w chwili wniesienia pozwu pozostaje właściwy aż do ukończenia postępowania,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c) sąd właściwy w chwili wniesienia pozwu może się uznać za niewłaściwy</w:t>
      </w:r>
      <w:r w:rsidR="00107A2F" w:rsidRPr="00107A2F">
        <w:rPr>
          <w:rFonts w:asciiTheme="majorHAnsi" w:hAnsiTheme="majorHAnsi"/>
        </w:rPr>
        <w:t>.</w:t>
      </w:r>
    </w:p>
    <w:p w:rsidR="00827C7E" w:rsidRPr="00107A2F" w:rsidRDefault="00827C7E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  <w:r w:rsidRPr="00107A2F">
        <w:rPr>
          <w:rFonts w:asciiTheme="majorHAnsi" w:hAnsiTheme="majorHAnsi"/>
          <w:b/>
        </w:rPr>
        <w:t>11. Zgodnie z kodeksem postępowania cywilnego, po doręczeniu pozwu pozwanemu sprawdzenie przez sąd wartości przedmiotu sporu nastąpić może jedynie: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a)  z urzędu,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b) na zarzut pozwanego, zgłoszony przed wdaniem się w spór co do istoty sprawy,</w:t>
      </w:r>
    </w:p>
    <w:p w:rsidR="00827C7E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c) na zarzut pozwanego, zgłoszony po wdaniu się w spór co do istoty sprawy</w:t>
      </w:r>
      <w:r w:rsidR="00107A2F" w:rsidRPr="00107A2F">
        <w:rPr>
          <w:rFonts w:asciiTheme="majorHAnsi" w:hAnsiTheme="majorHAnsi"/>
        </w:rPr>
        <w:t>.</w:t>
      </w:r>
    </w:p>
    <w:p w:rsidR="00827C7E" w:rsidRPr="00107A2F" w:rsidRDefault="00827C7E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  <w:r w:rsidRPr="00107A2F">
        <w:rPr>
          <w:rFonts w:asciiTheme="majorHAnsi" w:hAnsiTheme="majorHAnsi"/>
          <w:b/>
        </w:rPr>
        <w:t>12. Zgodnie z kodeksem postępowania cywilnego, w razie śmierci strony lub jej przedstawiciela ustawowego, utraty przez nich zdolności procesowej, utraty przez stronę zdolności sądowej lub utraty przez przedstawiciela ustawowego charakteru takiego przedstawiciela sąd: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a) oddala powództwo,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b) zawiesza postępowanie z urzędu,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c) zwraca pozew</w:t>
      </w:r>
      <w:r w:rsidR="00107A2F" w:rsidRPr="00107A2F">
        <w:rPr>
          <w:rFonts w:asciiTheme="majorHAnsi" w:hAnsiTheme="majorHAnsi"/>
        </w:rPr>
        <w:t>.</w:t>
      </w:r>
    </w:p>
    <w:p w:rsidR="004D70B1" w:rsidRDefault="004D70B1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</w:p>
    <w:p w:rsidR="00827C7E" w:rsidRPr="00107A2F" w:rsidRDefault="00827C7E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  <w:r w:rsidRPr="00107A2F">
        <w:rPr>
          <w:rFonts w:asciiTheme="majorHAnsi" w:hAnsiTheme="majorHAnsi"/>
          <w:b/>
        </w:rPr>
        <w:lastRenderedPageBreak/>
        <w:t>13. Zgodnie z kodeksem postępowania cywilnego, pozwany, przeciwko któremu zapadł wyrok zaoczny, może złożyć: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a) sprzeciw w ciągu dwóch tygodni od doręczenia mu wyroku,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b) zarzuty w ciągu tygodnia od doręczenia mu wyroku,</w:t>
      </w:r>
    </w:p>
    <w:p w:rsidR="00827C7E" w:rsidRPr="00107A2F" w:rsidRDefault="00827C7E" w:rsidP="000943FE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c) apelację w ciągu dwóch tygodni od doręczenia mu wyroku</w:t>
      </w:r>
      <w:r w:rsidR="00107A2F" w:rsidRPr="00107A2F">
        <w:rPr>
          <w:rFonts w:asciiTheme="majorHAnsi" w:hAnsiTheme="majorHAnsi"/>
        </w:rPr>
        <w:t>.</w:t>
      </w:r>
    </w:p>
    <w:p w:rsidR="00827C7E" w:rsidRPr="00107A2F" w:rsidRDefault="00827C7E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  <w:r w:rsidRPr="00107A2F">
        <w:rPr>
          <w:rFonts w:asciiTheme="majorHAnsi" w:hAnsiTheme="majorHAnsi"/>
          <w:b/>
        </w:rPr>
        <w:t>14. Zgodnie z kodeksem postępowania cywilnego, apelację spóźnioną, nieopłaconą lub z innych przyczyn niedopuszczalną, jak również apelację, której braków strona nie usunęła w wyznaczonym terminie: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a) odrzuca sąd pierwszej instancji,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b) odrzuca sąd drugiej instancji,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c) oddala sąd drugiej instancji</w:t>
      </w:r>
      <w:r w:rsidR="00107A2F" w:rsidRPr="00107A2F">
        <w:rPr>
          <w:rFonts w:asciiTheme="majorHAnsi" w:hAnsiTheme="majorHAnsi"/>
        </w:rPr>
        <w:t>.</w:t>
      </w:r>
    </w:p>
    <w:p w:rsidR="00827C7E" w:rsidRPr="00107A2F" w:rsidRDefault="00827C7E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  <w:r w:rsidRPr="00107A2F">
        <w:rPr>
          <w:rFonts w:asciiTheme="majorHAnsi" w:hAnsiTheme="majorHAnsi"/>
          <w:b/>
        </w:rPr>
        <w:t>15. Zgodnie z Kodeksem postępowania cywilnego, zażalenie do sądu drugiej instancji przysługuje na postanowienie sądu pierwszej instancji, którego przedmiotem jest: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a) odmowa zwolnienia od kosztów sądowych,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b) odmowa odrzucenia pozwu,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c) rygor natychmiastowej wykonalności</w:t>
      </w:r>
      <w:r w:rsidR="00107A2F" w:rsidRPr="00107A2F">
        <w:rPr>
          <w:rFonts w:asciiTheme="majorHAnsi" w:hAnsiTheme="majorHAnsi"/>
        </w:rPr>
        <w:t>.</w:t>
      </w:r>
    </w:p>
    <w:p w:rsidR="00827C7E" w:rsidRPr="00107A2F" w:rsidRDefault="00827C7E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  <w:r w:rsidRPr="00107A2F">
        <w:rPr>
          <w:rFonts w:asciiTheme="majorHAnsi" w:hAnsiTheme="majorHAnsi"/>
          <w:b/>
        </w:rPr>
        <w:t>16. Zgodnie z kodeksem postępowania cywilnego ponowny wniosek o ustanowienie pełnomocnika z urzędu oparty na tych samych okolicznościach podlega: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a) oddaleniu,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 xml:space="preserve">b) odrzuceniu, 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c) pozostawieniu w aktach sprawy bez żadnych dalszych czynności</w:t>
      </w:r>
      <w:r w:rsidR="00107A2F" w:rsidRPr="00107A2F">
        <w:rPr>
          <w:rFonts w:asciiTheme="majorHAnsi" w:hAnsiTheme="majorHAnsi"/>
        </w:rPr>
        <w:t>.</w:t>
      </w:r>
      <w:r w:rsidRPr="00107A2F">
        <w:rPr>
          <w:rFonts w:asciiTheme="majorHAnsi" w:hAnsiTheme="majorHAnsi"/>
        </w:rPr>
        <w:t xml:space="preserve"> </w:t>
      </w:r>
    </w:p>
    <w:p w:rsidR="00827C7E" w:rsidRPr="00107A2F" w:rsidRDefault="00827C7E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  <w:r w:rsidRPr="00107A2F">
        <w:rPr>
          <w:rFonts w:asciiTheme="majorHAnsi" w:hAnsiTheme="majorHAnsi"/>
          <w:b/>
        </w:rPr>
        <w:t>17. Zgodnie z kodeksem postępowania cywilnego orzeczenie uzupełniające wyrok w zakresie kosztów procesu zapada w formie: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a) wyroku,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b) postanowienia,</w:t>
      </w:r>
    </w:p>
    <w:p w:rsidR="00827C7E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c) zarządzenia</w:t>
      </w:r>
      <w:r w:rsidR="00107A2F" w:rsidRPr="00107A2F">
        <w:rPr>
          <w:rFonts w:asciiTheme="majorHAnsi" w:hAnsiTheme="majorHAnsi"/>
        </w:rPr>
        <w:t>.</w:t>
      </w:r>
    </w:p>
    <w:p w:rsidR="00827C7E" w:rsidRPr="00107A2F" w:rsidRDefault="00827C7E" w:rsidP="00107A2F">
      <w:pPr>
        <w:spacing w:before="100" w:beforeAutospacing="1" w:after="100" w:afterAutospacing="1"/>
        <w:jc w:val="both"/>
        <w:rPr>
          <w:rFonts w:asciiTheme="majorHAnsi" w:hAnsiTheme="majorHAnsi"/>
          <w:b/>
        </w:rPr>
      </w:pPr>
      <w:r w:rsidRPr="00107A2F">
        <w:rPr>
          <w:rFonts w:asciiTheme="majorHAnsi" w:hAnsiTheme="majorHAnsi"/>
          <w:b/>
        </w:rPr>
        <w:t>18. Zgodnie z kodeksem postępowania cywilnego zarządzenie o zwrocie pozwu: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a</w:t>
      </w:r>
      <w:r w:rsidR="00107A2F" w:rsidRPr="00107A2F">
        <w:rPr>
          <w:rFonts w:asciiTheme="majorHAnsi" w:hAnsiTheme="majorHAnsi"/>
        </w:rPr>
        <w:t xml:space="preserve">) </w:t>
      </w:r>
      <w:r w:rsidRPr="00107A2F">
        <w:rPr>
          <w:rFonts w:asciiTheme="majorHAnsi" w:hAnsiTheme="majorHAnsi"/>
        </w:rPr>
        <w:t xml:space="preserve">doręczenia się powodowi i pozwanemu, </w:t>
      </w:r>
    </w:p>
    <w:p w:rsidR="00827C7E" w:rsidRPr="00107A2F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b</w:t>
      </w:r>
      <w:r w:rsidR="00107A2F" w:rsidRPr="00107A2F">
        <w:rPr>
          <w:rFonts w:asciiTheme="majorHAnsi" w:hAnsiTheme="majorHAnsi"/>
        </w:rPr>
        <w:t xml:space="preserve">) </w:t>
      </w:r>
      <w:r w:rsidRPr="00107A2F">
        <w:rPr>
          <w:rFonts w:asciiTheme="majorHAnsi" w:hAnsiTheme="majorHAnsi"/>
        </w:rPr>
        <w:t xml:space="preserve">doręcza się tylko powodowi, </w:t>
      </w:r>
    </w:p>
    <w:p w:rsidR="00827C7E" w:rsidRDefault="00827C7E" w:rsidP="004D70B1">
      <w:pPr>
        <w:spacing w:after="0" w:line="360" w:lineRule="auto"/>
        <w:jc w:val="both"/>
        <w:rPr>
          <w:rFonts w:asciiTheme="majorHAnsi" w:hAnsiTheme="majorHAnsi"/>
        </w:rPr>
      </w:pPr>
      <w:r w:rsidRPr="00107A2F">
        <w:rPr>
          <w:rFonts w:asciiTheme="majorHAnsi" w:hAnsiTheme="majorHAnsi"/>
        </w:rPr>
        <w:t>c.</w:t>
      </w:r>
      <w:r w:rsidR="00107A2F" w:rsidRPr="00107A2F">
        <w:rPr>
          <w:rFonts w:asciiTheme="majorHAnsi" w:hAnsiTheme="majorHAnsi"/>
        </w:rPr>
        <w:t xml:space="preserve">)  </w:t>
      </w:r>
      <w:r w:rsidRPr="00107A2F">
        <w:rPr>
          <w:rFonts w:asciiTheme="majorHAnsi" w:hAnsiTheme="majorHAnsi"/>
        </w:rPr>
        <w:t>nie doręcza się.</w:t>
      </w:r>
    </w:p>
    <w:p w:rsidR="00140410" w:rsidRPr="00140410" w:rsidRDefault="00140410" w:rsidP="00140410">
      <w:pPr>
        <w:spacing w:before="100" w:beforeAutospacing="1" w:after="100" w:afterAutospacing="1" w:line="240" w:lineRule="auto"/>
        <w:jc w:val="both"/>
        <w:rPr>
          <w:rFonts w:asciiTheme="majorHAnsi" w:hAnsiTheme="majorHAnsi"/>
          <w:b/>
        </w:rPr>
      </w:pPr>
      <w:r w:rsidRPr="00140410">
        <w:rPr>
          <w:rFonts w:asciiTheme="majorHAnsi" w:hAnsiTheme="majorHAnsi"/>
          <w:b/>
        </w:rPr>
        <w:t>19.  Przestępstwem ściganym na wniosek pokrzywdzonego jest:</w:t>
      </w:r>
    </w:p>
    <w:p w:rsidR="00140410" w:rsidRPr="00140410" w:rsidRDefault="00140410" w:rsidP="00767FC7">
      <w:pPr>
        <w:pStyle w:val="Akapitzlist"/>
        <w:numPr>
          <w:ilvl w:val="0"/>
          <w:numId w:val="2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przestępstwo zgwałcenia (art. 197 kk)</w:t>
      </w:r>
      <w:r w:rsidR="00012166">
        <w:rPr>
          <w:rFonts w:asciiTheme="majorHAnsi" w:hAnsiTheme="majorHAnsi"/>
        </w:rPr>
        <w:t>,</w:t>
      </w:r>
    </w:p>
    <w:p w:rsidR="00140410" w:rsidRPr="00140410" w:rsidRDefault="00140410" w:rsidP="00767FC7">
      <w:pPr>
        <w:pStyle w:val="Akapitzlist"/>
        <w:numPr>
          <w:ilvl w:val="0"/>
          <w:numId w:val="2"/>
        </w:numPr>
        <w:spacing w:after="160" w:line="360" w:lineRule="auto"/>
        <w:rPr>
          <w:rFonts w:asciiTheme="majorHAnsi" w:hAnsiTheme="majorHAnsi"/>
          <w:bCs/>
        </w:rPr>
      </w:pPr>
      <w:r w:rsidRPr="00140410">
        <w:rPr>
          <w:rFonts w:asciiTheme="majorHAnsi" w:hAnsiTheme="majorHAnsi"/>
          <w:bCs/>
        </w:rPr>
        <w:lastRenderedPageBreak/>
        <w:t xml:space="preserve">przestępstwo gróźb karalnych (art. 190 </w:t>
      </w:r>
      <w:r w:rsidRPr="00140410">
        <w:rPr>
          <w:rFonts w:asciiTheme="majorHAnsi" w:hAnsiTheme="majorHAnsi" w:cstheme="minorHAnsi"/>
          <w:bCs/>
        </w:rPr>
        <w:t>§</w:t>
      </w:r>
      <w:r w:rsidRPr="00140410">
        <w:rPr>
          <w:rFonts w:asciiTheme="majorHAnsi" w:hAnsiTheme="majorHAnsi"/>
          <w:bCs/>
        </w:rPr>
        <w:t xml:space="preserve"> 1 kk)</w:t>
      </w:r>
      <w:r w:rsidR="00012166">
        <w:rPr>
          <w:rFonts w:asciiTheme="majorHAnsi" w:hAnsiTheme="majorHAnsi"/>
          <w:bCs/>
        </w:rPr>
        <w:t>,</w:t>
      </w:r>
    </w:p>
    <w:p w:rsidR="00140410" w:rsidRPr="00140410" w:rsidRDefault="00140410" w:rsidP="00767FC7">
      <w:pPr>
        <w:pStyle w:val="Akapitzlist"/>
        <w:numPr>
          <w:ilvl w:val="0"/>
          <w:numId w:val="2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przestępstwo znęcania się (art. 207 kk)</w:t>
      </w:r>
      <w:r w:rsidR="00012166">
        <w:rPr>
          <w:rFonts w:asciiTheme="majorHAnsi" w:hAnsiTheme="majorHAnsi"/>
        </w:rPr>
        <w:t>.</w:t>
      </w:r>
    </w:p>
    <w:p w:rsidR="00140410" w:rsidRPr="00140410" w:rsidRDefault="00140410" w:rsidP="00140410">
      <w:pPr>
        <w:pStyle w:val="Akapitzlist"/>
        <w:rPr>
          <w:rFonts w:asciiTheme="majorHAnsi" w:hAnsiTheme="majorHAnsi"/>
        </w:rPr>
      </w:pPr>
    </w:p>
    <w:p w:rsidR="00140410" w:rsidRPr="008228A4" w:rsidRDefault="00140410" w:rsidP="008228A4">
      <w:pPr>
        <w:pStyle w:val="Akapitzlist"/>
        <w:numPr>
          <w:ilvl w:val="0"/>
          <w:numId w:val="17"/>
        </w:numPr>
        <w:spacing w:after="160" w:line="256" w:lineRule="auto"/>
        <w:rPr>
          <w:rFonts w:asciiTheme="majorHAnsi" w:hAnsiTheme="majorHAnsi"/>
          <w:b/>
        </w:rPr>
      </w:pPr>
      <w:r w:rsidRPr="008228A4">
        <w:rPr>
          <w:rFonts w:asciiTheme="majorHAnsi" w:hAnsiTheme="majorHAnsi"/>
          <w:b/>
        </w:rPr>
        <w:t>Zgodnie z kodeksem postępowania karnego wniosek o orzeczenie obowiązku naprawienia szkody pokrzywdzony, a także prokurator, może złożyć najpóźniej do:</w:t>
      </w:r>
    </w:p>
    <w:p w:rsidR="00140410" w:rsidRPr="00140410" w:rsidRDefault="00140410" w:rsidP="00140410">
      <w:pPr>
        <w:pStyle w:val="Akapitzlist"/>
        <w:spacing w:after="160" w:line="256" w:lineRule="auto"/>
        <w:ind w:left="360"/>
        <w:rPr>
          <w:rFonts w:asciiTheme="majorHAnsi" w:hAnsiTheme="majorHAnsi"/>
          <w:b/>
        </w:rPr>
      </w:pPr>
    </w:p>
    <w:p w:rsidR="00140410" w:rsidRPr="00140410" w:rsidRDefault="00140410" w:rsidP="00767FC7">
      <w:pPr>
        <w:pStyle w:val="Akapitzlist"/>
        <w:numPr>
          <w:ilvl w:val="0"/>
          <w:numId w:val="3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rozpoczęcia przewodu sądowego na rozprawie głównej</w:t>
      </w:r>
      <w:r w:rsidR="00012166">
        <w:rPr>
          <w:rFonts w:asciiTheme="majorHAnsi" w:hAnsiTheme="majorHAnsi"/>
        </w:rPr>
        <w:t>,</w:t>
      </w:r>
    </w:p>
    <w:p w:rsidR="00140410" w:rsidRPr="00140410" w:rsidRDefault="00140410" w:rsidP="00767FC7">
      <w:pPr>
        <w:pStyle w:val="Akapitzlist"/>
        <w:numPr>
          <w:ilvl w:val="0"/>
          <w:numId w:val="3"/>
        </w:numPr>
        <w:spacing w:after="160" w:line="360" w:lineRule="auto"/>
        <w:rPr>
          <w:rFonts w:asciiTheme="majorHAnsi" w:hAnsiTheme="majorHAnsi"/>
          <w:bCs/>
        </w:rPr>
      </w:pPr>
      <w:r w:rsidRPr="00140410">
        <w:rPr>
          <w:rFonts w:asciiTheme="majorHAnsi" w:hAnsiTheme="majorHAnsi"/>
          <w:bCs/>
        </w:rPr>
        <w:t>zamknięcia przewodu sądowego na rozprawie głównej</w:t>
      </w:r>
      <w:r w:rsidR="00012166">
        <w:rPr>
          <w:rFonts w:asciiTheme="majorHAnsi" w:hAnsiTheme="majorHAnsi"/>
          <w:bCs/>
        </w:rPr>
        <w:t>,</w:t>
      </w:r>
    </w:p>
    <w:p w:rsidR="00140410" w:rsidRDefault="00140410" w:rsidP="00767FC7">
      <w:pPr>
        <w:pStyle w:val="Akapitzlist"/>
        <w:numPr>
          <w:ilvl w:val="0"/>
          <w:numId w:val="3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rozpoczęcia rozprawy głównej</w:t>
      </w:r>
      <w:r w:rsidR="00012166">
        <w:rPr>
          <w:rFonts w:asciiTheme="majorHAnsi" w:hAnsiTheme="majorHAnsi"/>
        </w:rPr>
        <w:t>.</w:t>
      </w:r>
    </w:p>
    <w:p w:rsidR="004D70B1" w:rsidRPr="00140410" w:rsidRDefault="004D70B1" w:rsidP="004D70B1">
      <w:pPr>
        <w:pStyle w:val="Akapitzlist"/>
        <w:spacing w:after="160" w:line="360" w:lineRule="auto"/>
        <w:ind w:left="360"/>
        <w:rPr>
          <w:rFonts w:asciiTheme="majorHAnsi" w:hAnsiTheme="majorHAnsi"/>
        </w:rPr>
      </w:pPr>
    </w:p>
    <w:p w:rsidR="00140410" w:rsidRPr="008228A4" w:rsidRDefault="00140410" w:rsidP="008228A4">
      <w:pPr>
        <w:pStyle w:val="Akapitzlist"/>
        <w:numPr>
          <w:ilvl w:val="0"/>
          <w:numId w:val="17"/>
        </w:numPr>
        <w:spacing w:after="160" w:line="256" w:lineRule="auto"/>
        <w:rPr>
          <w:rFonts w:asciiTheme="majorHAnsi" w:hAnsiTheme="majorHAnsi"/>
          <w:b/>
        </w:rPr>
      </w:pPr>
      <w:r w:rsidRPr="008228A4">
        <w:rPr>
          <w:rFonts w:asciiTheme="majorHAnsi" w:hAnsiTheme="majorHAnsi"/>
          <w:b/>
        </w:rPr>
        <w:t>Według kodeksu postępowania karnego zaskarżalne zażaleniem nie jest:</w:t>
      </w:r>
    </w:p>
    <w:p w:rsidR="00140410" w:rsidRPr="00140410" w:rsidRDefault="00140410" w:rsidP="00140410">
      <w:pPr>
        <w:pStyle w:val="Akapitzlist"/>
        <w:spacing w:after="160" w:line="256" w:lineRule="auto"/>
        <w:ind w:left="360"/>
        <w:rPr>
          <w:rFonts w:asciiTheme="majorHAnsi" w:hAnsiTheme="majorHAnsi"/>
          <w:b/>
        </w:rPr>
      </w:pPr>
    </w:p>
    <w:p w:rsidR="00140410" w:rsidRPr="00140410" w:rsidRDefault="00140410" w:rsidP="00767FC7">
      <w:pPr>
        <w:pStyle w:val="Akapitzlist"/>
        <w:numPr>
          <w:ilvl w:val="0"/>
          <w:numId w:val="4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postanowienie w przedmiocie podjęcia zawieszonego postępowania karnego</w:t>
      </w:r>
      <w:r w:rsidR="00012166">
        <w:rPr>
          <w:rFonts w:asciiTheme="majorHAnsi" w:hAnsiTheme="majorHAnsi"/>
        </w:rPr>
        <w:t>,</w:t>
      </w:r>
    </w:p>
    <w:p w:rsidR="00140410" w:rsidRPr="00140410" w:rsidRDefault="00140410" w:rsidP="00767FC7">
      <w:pPr>
        <w:pStyle w:val="Akapitzlist"/>
        <w:numPr>
          <w:ilvl w:val="0"/>
          <w:numId w:val="4"/>
        </w:numPr>
        <w:spacing w:after="160" w:line="360" w:lineRule="auto"/>
        <w:rPr>
          <w:rFonts w:asciiTheme="majorHAnsi" w:hAnsiTheme="majorHAnsi"/>
          <w:bCs/>
        </w:rPr>
      </w:pPr>
      <w:r w:rsidRPr="00140410">
        <w:rPr>
          <w:rFonts w:asciiTheme="majorHAnsi" w:hAnsiTheme="majorHAnsi"/>
          <w:bCs/>
        </w:rPr>
        <w:t>postanowienie w przedmiocie oddalenia wniosku dowodowego</w:t>
      </w:r>
      <w:r w:rsidR="00012166">
        <w:rPr>
          <w:rFonts w:asciiTheme="majorHAnsi" w:hAnsiTheme="majorHAnsi"/>
          <w:bCs/>
        </w:rPr>
        <w:t>,</w:t>
      </w:r>
    </w:p>
    <w:p w:rsidR="00140410" w:rsidRDefault="00140410" w:rsidP="00767FC7">
      <w:pPr>
        <w:pStyle w:val="Akapitzlist"/>
        <w:numPr>
          <w:ilvl w:val="0"/>
          <w:numId w:val="4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postanowienie w kwestii właściwości sądu</w:t>
      </w:r>
      <w:r w:rsidR="00012166">
        <w:rPr>
          <w:rFonts w:asciiTheme="majorHAnsi" w:hAnsiTheme="majorHAnsi"/>
        </w:rPr>
        <w:t>.</w:t>
      </w:r>
    </w:p>
    <w:p w:rsidR="004D70B1" w:rsidRPr="00140410" w:rsidRDefault="004D70B1" w:rsidP="004D70B1">
      <w:pPr>
        <w:pStyle w:val="Akapitzlist"/>
        <w:spacing w:after="160" w:line="360" w:lineRule="auto"/>
        <w:ind w:left="360"/>
        <w:rPr>
          <w:rFonts w:asciiTheme="majorHAnsi" w:hAnsiTheme="majorHAnsi"/>
        </w:rPr>
      </w:pPr>
    </w:p>
    <w:p w:rsidR="00140410" w:rsidRDefault="00140410" w:rsidP="008228A4">
      <w:pPr>
        <w:pStyle w:val="Akapitzlist"/>
        <w:numPr>
          <w:ilvl w:val="0"/>
          <w:numId w:val="17"/>
        </w:numPr>
        <w:spacing w:after="160" w:line="256" w:lineRule="auto"/>
        <w:rPr>
          <w:rFonts w:asciiTheme="majorHAnsi" w:hAnsiTheme="majorHAnsi"/>
          <w:b/>
        </w:rPr>
      </w:pPr>
      <w:r w:rsidRPr="00140410">
        <w:rPr>
          <w:rFonts w:asciiTheme="majorHAnsi" w:hAnsiTheme="majorHAnsi"/>
          <w:b/>
        </w:rPr>
        <w:t>Zgodnie z Kodeksem karnym skarbowym kara łączna grzywny nie może przekroczyć:</w:t>
      </w:r>
    </w:p>
    <w:p w:rsidR="00140410" w:rsidRPr="00140410" w:rsidRDefault="00140410" w:rsidP="00140410">
      <w:pPr>
        <w:pStyle w:val="Akapitzlist"/>
        <w:spacing w:after="160" w:line="256" w:lineRule="auto"/>
        <w:ind w:left="360"/>
        <w:rPr>
          <w:rFonts w:asciiTheme="majorHAnsi" w:hAnsiTheme="majorHAnsi"/>
          <w:b/>
        </w:rPr>
      </w:pPr>
    </w:p>
    <w:p w:rsidR="00140410" w:rsidRPr="00140410" w:rsidRDefault="00140410" w:rsidP="00767FC7">
      <w:pPr>
        <w:pStyle w:val="Akapitzlist"/>
        <w:numPr>
          <w:ilvl w:val="0"/>
          <w:numId w:val="5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720 stawek dziennych</w:t>
      </w:r>
      <w:r w:rsidR="00012166">
        <w:rPr>
          <w:rFonts w:asciiTheme="majorHAnsi" w:hAnsiTheme="majorHAnsi"/>
        </w:rPr>
        <w:t>,</w:t>
      </w:r>
    </w:p>
    <w:p w:rsidR="00140410" w:rsidRPr="00140410" w:rsidRDefault="00140410" w:rsidP="00767FC7">
      <w:pPr>
        <w:pStyle w:val="Akapitzlist"/>
        <w:numPr>
          <w:ilvl w:val="0"/>
          <w:numId w:val="5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810 stawek dziennych</w:t>
      </w:r>
      <w:r w:rsidR="00012166">
        <w:rPr>
          <w:rFonts w:asciiTheme="majorHAnsi" w:hAnsiTheme="majorHAnsi"/>
        </w:rPr>
        <w:t>,</w:t>
      </w:r>
    </w:p>
    <w:p w:rsidR="00140410" w:rsidRDefault="00140410" w:rsidP="00767FC7">
      <w:pPr>
        <w:pStyle w:val="Akapitzlist"/>
        <w:numPr>
          <w:ilvl w:val="0"/>
          <w:numId w:val="5"/>
        </w:numPr>
        <w:spacing w:after="160" w:line="360" w:lineRule="auto"/>
        <w:rPr>
          <w:rFonts w:asciiTheme="majorHAnsi" w:hAnsiTheme="majorHAnsi"/>
          <w:bCs/>
        </w:rPr>
      </w:pPr>
      <w:r w:rsidRPr="00140410">
        <w:rPr>
          <w:rFonts w:asciiTheme="majorHAnsi" w:hAnsiTheme="majorHAnsi"/>
          <w:bCs/>
        </w:rPr>
        <w:t>1080 stawek dziennych</w:t>
      </w:r>
      <w:r w:rsidR="00012166">
        <w:rPr>
          <w:rFonts w:asciiTheme="majorHAnsi" w:hAnsiTheme="majorHAnsi"/>
          <w:bCs/>
        </w:rPr>
        <w:t>.</w:t>
      </w:r>
    </w:p>
    <w:p w:rsidR="004D70B1" w:rsidRPr="00140410" w:rsidRDefault="004D70B1" w:rsidP="004D70B1">
      <w:pPr>
        <w:pStyle w:val="Akapitzlist"/>
        <w:spacing w:after="160" w:line="360" w:lineRule="auto"/>
        <w:ind w:left="360"/>
        <w:rPr>
          <w:rFonts w:asciiTheme="majorHAnsi" w:hAnsiTheme="majorHAnsi"/>
          <w:bCs/>
        </w:rPr>
      </w:pPr>
    </w:p>
    <w:p w:rsidR="00140410" w:rsidRDefault="00140410" w:rsidP="008228A4">
      <w:pPr>
        <w:pStyle w:val="Akapitzlist"/>
        <w:numPr>
          <w:ilvl w:val="0"/>
          <w:numId w:val="17"/>
        </w:numPr>
        <w:spacing w:after="160" w:line="256" w:lineRule="auto"/>
        <w:rPr>
          <w:rFonts w:asciiTheme="majorHAnsi" w:hAnsiTheme="majorHAnsi"/>
          <w:b/>
        </w:rPr>
      </w:pPr>
      <w:r w:rsidRPr="00140410">
        <w:rPr>
          <w:rFonts w:asciiTheme="majorHAnsi" w:hAnsiTheme="majorHAnsi"/>
          <w:b/>
        </w:rPr>
        <w:t>Zgodnie z kodeksem postępowania karnego zawiadomienie o pierwszym terminie rozprawy może być doręczone oskarżonemu:</w:t>
      </w:r>
    </w:p>
    <w:p w:rsidR="00140410" w:rsidRPr="00140410" w:rsidRDefault="00140410" w:rsidP="00140410">
      <w:pPr>
        <w:pStyle w:val="Akapitzlist"/>
        <w:spacing w:after="160" w:line="256" w:lineRule="auto"/>
        <w:ind w:left="360"/>
        <w:rPr>
          <w:rFonts w:asciiTheme="majorHAnsi" w:hAnsiTheme="majorHAnsi"/>
          <w:b/>
        </w:rPr>
      </w:pPr>
    </w:p>
    <w:p w:rsidR="00140410" w:rsidRPr="00140410" w:rsidRDefault="00140410" w:rsidP="00767FC7">
      <w:pPr>
        <w:pStyle w:val="Akapitzlist"/>
        <w:numPr>
          <w:ilvl w:val="0"/>
          <w:numId w:val="6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poprzez doręczenie dorosłemu domownikowi, a w razie jego nieobecności administracji domu, dozorcy lub sołtysowi, jeśli podejmą się oddać pismo adresatowi</w:t>
      </w:r>
      <w:r w:rsidR="00012166">
        <w:rPr>
          <w:rFonts w:asciiTheme="majorHAnsi" w:hAnsiTheme="majorHAnsi"/>
        </w:rPr>
        <w:t>,</w:t>
      </w:r>
    </w:p>
    <w:p w:rsidR="00140410" w:rsidRPr="00140410" w:rsidRDefault="00140410" w:rsidP="00767FC7">
      <w:pPr>
        <w:pStyle w:val="Akapitzlist"/>
        <w:numPr>
          <w:ilvl w:val="0"/>
          <w:numId w:val="6"/>
        </w:numPr>
        <w:spacing w:after="160" w:line="360" w:lineRule="auto"/>
        <w:rPr>
          <w:rFonts w:asciiTheme="majorHAnsi" w:hAnsiTheme="majorHAnsi"/>
          <w:bCs/>
        </w:rPr>
      </w:pPr>
      <w:r w:rsidRPr="00140410">
        <w:rPr>
          <w:rFonts w:asciiTheme="majorHAnsi" w:hAnsiTheme="majorHAnsi"/>
          <w:bCs/>
        </w:rPr>
        <w:t>wyłącznie osobiście lub  poprzez pozostawienie w najbliższej placówce pocztowej operatora pocztowego i dwukrotną awizację przesyłki</w:t>
      </w:r>
      <w:r w:rsidR="00012166">
        <w:rPr>
          <w:rFonts w:asciiTheme="majorHAnsi" w:hAnsiTheme="majorHAnsi"/>
          <w:bCs/>
        </w:rPr>
        <w:t>,</w:t>
      </w:r>
    </w:p>
    <w:p w:rsidR="00140410" w:rsidRDefault="00140410" w:rsidP="00767FC7">
      <w:pPr>
        <w:pStyle w:val="Akapitzlist"/>
        <w:numPr>
          <w:ilvl w:val="0"/>
          <w:numId w:val="6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za pośrednictwem poczty elektronicznej</w:t>
      </w:r>
      <w:r w:rsidR="00012166">
        <w:rPr>
          <w:rFonts w:asciiTheme="majorHAnsi" w:hAnsiTheme="majorHAnsi"/>
        </w:rPr>
        <w:t>.</w:t>
      </w:r>
    </w:p>
    <w:p w:rsidR="004D70B1" w:rsidRPr="00140410" w:rsidRDefault="004D70B1" w:rsidP="004D70B1">
      <w:pPr>
        <w:pStyle w:val="Akapitzlist"/>
        <w:spacing w:after="160" w:line="360" w:lineRule="auto"/>
        <w:ind w:left="360"/>
        <w:rPr>
          <w:rFonts w:asciiTheme="majorHAnsi" w:hAnsiTheme="majorHAnsi"/>
        </w:rPr>
      </w:pPr>
    </w:p>
    <w:p w:rsidR="00140410" w:rsidRPr="00140410" w:rsidRDefault="00140410" w:rsidP="008228A4">
      <w:pPr>
        <w:pStyle w:val="Akapitzlist"/>
        <w:numPr>
          <w:ilvl w:val="0"/>
          <w:numId w:val="17"/>
        </w:numPr>
        <w:spacing w:after="160" w:line="256" w:lineRule="auto"/>
        <w:jc w:val="both"/>
        <w:rPr>
          <w:rFonts w:asciiTheme="majorHAnsi" w:hAnsiTheme="majorHAnsi"/>
          <w:b/>
        </w:rPr>
      </w:pPr>
      <w:r w:rsidRPr="00140410">
        <w:rPr>
          <w:rFonts w:asciiTheme="majorHAnsi" w:hAnsiTheme="majorHAnsi"/>
          <w:b/>
        </w:rPr>
        <w:t xml:space="preserve">Według postępowania karnego </w:t>
      </w:r>
      <w:r w:rsidR="00F90D74">
        <w:rPr>
          <w:rFonts w:asciiTheme="majorHAnsi" w:hAnsiTheme="majorHAnsi"/>
          <w:b/>
        </w:rPr>
        <w:t>s</w:t>
      </w:r>
      <w:bookmarkStart w:id="0" w:name="_GoBack"/>
      <w:bookmarkEnd w:id="0"/>
      <w:r w:rsidRPr="00140410">
        <w:rPr>
          <w:rFonts w:asciiTheme="majorHAnsi" w:hAnsiTheme="majorHAnsi"/>
          <w:b/>
        </w:rPr>
        <w:t>prostowanie protokołu rozprawy ze wskazaniem na nieścisłości i opuszczenia może nastąpić:</w:t>
      </w:r>
    </w:p>
    <w:p w:rsidR="00140410" w:rsidRPr="00140410" w:rsidRDefault="00140410" w:rsidP="00140410">
      <w:pPr>
        <w:pStyle w:val="Akapitzlist"/>
        <w:spacing w:after="160" w:line="256" w:lineRule="auto"/>
        <w:ind w:left="360"/>
        <w:jc w:val="both"/>
        <w:rPr>
          <w:rFonts w:asciiTheme="majorHAnsi" w:hAnsiTheme="majorHAnsi"/>
        </w:rPr>
      </w:pPr>
    </w:p>
    <w:p w:rsidR="00140410" w:rsidRPr="00140410" w:rsidRDefault="00140410" w:rsidP="00767FC7">
      <w:pPr>
        <w:pStyle w:val="Akapitzlist"/>
        <w:numPr>
          <w:ilvl w:val="0"/>
          <w:numId w:val="7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wyłącznie z urzędu</w:t>
      </w:r>
      <w:r w:rsidR="00012166">
        <w:rPr>
          <w:rFonts w:asciiTheme="majorHAnsi" w:hAnsiTheme="majorHAnsi"/>
        </w:rPr>
        <w:t>,</w:t>
      </w:r>
    </w:p>
    <w:p w:rsidR="00140410" w:rsidRPr="00140410" w:rsidRDefault="00140410" w:rsidP="00767FC7">
      <w:pPr>
        <w:pStyle w:val="Akapitzlist"/>
        <w:numPr>
          <w:ilvl w:val="0"/>
          <w:numId w:val="7"/>
        </w:numPr>
        <w:spacing w:after="160" w:line="360" w:lineRule="auto"/>
        <w:rPr>
          <w:rFonts w:asciiTheme="majorHAnsi" w:hAnsiTheme="majorHAnsi"/>
          <w:bCs/>
        </w:rPr>
      </w:pPr>
      <w:r w:rsidRPr="00140410">
        <w:rPr>
          <w:rFonts w:asciiTheme="majorHAnsi" w:hAnsiTheme="majorHAnsi"/>
          <w:bCs/>
        </w:rPr>
        <w:t>wyłącznie na wniosek strony oraz osoby mającej w tym interes prawny</w:t>
      </w:r>
      <w:r w:rsidR="00012166">
        <w:rPr>
          <w:rFonts w:asciiTheme="majorHAnsi" w:hAnsiTheme="majorHAnsi"/>
          <w:bCs/>
        </w:rPr>
        <w:t>,</w:t>
      </w:r>
    </w:p>
    <w:p w:rsidR="00140410" w:rsidRDefault="00140410" w:rsidP="00767FC7">
      <w:pPr>
        <w:pStyle w:val="Akapitzlist"/>
        <w:numPr>
          <w:ilvl w:val="0"/>
          <w:numId w:val="7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z urzędu lub na wniosek strony mającej w tym interes prawny</w:t>
      </w:r>
      <w:r w:rsidR="00012166">
        <w:rPr>
          <w:rFonts w:asciiTheme="majorHAnsi" w:hAnsiTheme="majorHAnsi"/>
        </w:rPr>
        <w:t>.</w:t>
      </w:r>
    </w:p>
    <w:p w:rsidR="004D70B1" w:rsidRPr="00140410" w:rsidRDefault="004D70B1" w:rsidP="004D70B1">
      <w:pPr>
        <w:pStyle w:val="Akapitzlist"/>
        <w:spacing w:after="160" w:line="360" w:lineRule="auto"/>
        <w:ind w:left="360"/>
        <w:rPr>
          <w:rFonts w:asciiTheme="majorHAnsi" w:hAnsiTheme="majorHAnsi"/>
        </w:rPr>
      </w:pPr>
    </w:p>
    <w:p w:rsidR="00140410" w:rsidRPr="00140410" w:rsidRDefault="00140410" w:rsidP="008228A4">
      <w:pPr>
        <w:pStyle w:val="Akapitzlist"/>
        <w:numPr>
          <w:ilvl w:val="0"/>
          <w:numId w:val="17"/>
        </w:numPr>
        <w:spacing w:after="160" w:line="256" w:lineRule="auto"/>
        <w:rPr>
          <w:rFonts w:asciiTheme="majorHAnsi" w:hAnsiTheme="majorHAnsi"/>
          <w:b/>
        </w:rPr>
      </w:pPr>
      <w:r w:rsidRPr="00140410">
        <w:rPr>
          <w:rFonts w:asciiTheme="majorHAnsi" w:hAnsiTheme="majorHAnsi"/>
          <w:b/>
        </w:rPr>
        <w:t>Według kodeksu postępowania karnego niejawna z mocy prawa jest rozprawa:</w:t>
      </w:r>
    </w:p>
    <w:p w:rsidR="00140410" w:rsidRPr="00140410" w:rsidRDefault="00140410" w:rsidP="00140410">
      <w:pPr>
        <w:pStyle w:val="Akapitzlist"/>
        <w:spacing w:after="160" w:line="256" w:lineRule="auto"/>
        <w:ind w:left="360"/>
        <w:rPr>
          <w:rFonts w:asciiTheme="majorHAnsi" w:hAnsiTheme="majorHAnsi"/>
        </w:rPr>
      </w:pPr>
    </w:p>
    <w:p w:rsidR="00140410" w:rsidRPr="00140410" w:rsidRDefault="00140410" w:rsidP="00767FC7">
      <w:pPr>
        <w:pStyle w:val="Akapitzlist"/>
        <w:numPr>
          <w:ilvl w:val="0"/>
          <w:numId w:val="8"/>
        </w:numPr>
        <w:spacing w:after="160" w:line="360" w:lineRule="auto"/>
        <w:rPr>
          <w:rFonts w:asciiTheme="majorHAnsi" w:hAnsiTheme="majorHAnsi"/>
          <w:bCs/>
        </w:rPr>
      </w:pPr>
      <w:r w:rsidRPr="00140410">
        <w:rPr>
          <w:rFonts w:asciiTheme="majorHAnsi" w:hAnsiTheme="majorHAnsi"/>
          <w:bCs/>
        </w:rPr>
        <w:t>która dotyczy sprawy o pomówienie lub znieważenie</w:t>
      </w:r>
      <w:r w:rsidR="00012166">
        <w:rPr>
          <w:rFonts w:asciiTheme="majorHAnsi" w:hAnsiTheme="majorHAnsi"/>
          <w:bCs/>
        </w:rPr>
        <w:t>,</w:t>
      </w:r>
    </w:p>
    <w:p w:rsidR="00140410" w:rsidRPr="00140410" w:rsidRDefault="00140410" w:rsidP="00767FC7">
      <w:pPr>
        <w:pStyle w:val="Akapitzlist"/>
        <w:numPr>
          <w:ilvl w:val="0"/>
          <w:numId w:val="8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jeśli choćby jeden z oskarżonych nie ukończył 18 lat</w:t>
      </w:r>
      <w:r w:rsidR="00012166">
        <w:rPr>
          <w:rFonts w:asciiTheme="majorHAnsi" w:hAnsiTheme="majorHAnsi"/>
        </w:rPr>
        <w:t>,</w:t>
      </w:r>
    </w:p>
    <w:p w:rsidR="00140410" w:rsidRDefault="00140410" w:rsidP="00767FC7">
      <w:pPr>
        <w:pStyle w:val="Akapitzlist"/>
        <w:numPr>
          <w:ilvl w:val="0"/>
          <w:numId w:val="8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na czas przesłuchania świadka, który nie ukończył 15 lat</w:t>
      </w:r>
      <w:r w:rsidR="00012166">
        <w:rPr>
          <w:rFonts w:asciiTheme="majorHAnsi" w:hAnsiTheme="majorHAnsi"/>
        </w:rPr>
        <w:t>.</w:t>
      </w:r>
    </w:p>
    <w:p w:rsidR="004D70B1" w:rsidRPr="00140410" w:rsidRDefault="004D70B1" w:rsidP="004D70B1">
      <w:pPr>
        <w:pStyle w:val="Akapitzlist"/>
        <w:spacing w:after="160" w:line="360" w:lineRule="auto"/>
        <w:ind w:left="360"/>
        <w:rPr>
          <w:rFonts w:asciiTheme="majorHAnsi" w:hAnsiTheme="majorHAnsi"/>
        </w:rPr>
      </w:pPr>
    </w:p>
    <w:p w:rsidR="00140410" w:rsidRPr="00140410" w:rsidRDefault="00140410" w:rsidP="008228A4">
      <w:pPr>
        <w:pStyle w:val="Akapitzlist"/>
        <w:numPr>
          <w:ilvl w:val="0"/>
          <w:numId w:val="17"/>
        </w:numPr>
        <w:spacing w:after="160" w:line="256" w:lineRule="auto"/>
        <w:jc w:val="both"/>
        <w:rPr>
          <w:rFonts w:asciiTheme="majorHAnsi" w:hAnsiTheme="majorHAnsi"/>
          <w:b/>
        </w:rPr>
      </w:pPr>
      <w:r w:rsidRPr="00140410">
        <w:rPr>
          <w:rFonts w:asciiTheme="majorHAnsi" w:hAnsiTheme="majorHAnsi"/>
          <w:b/>
        </w:rPr>
        <w:t xml:space="preserve">Zgodnie z kodeksem karnym środek karny w postaci zakazu </w:t>
      </w:r>
      <w:r w:rsidR="006E3141">
        <w:rPr>
          <w:rFonts w:asciiTheme="majorHAnsi" w:hAnsiTheme="majorHAnsi"/>
          <w:b/>
        </w:rPr>
        <w:t xml:space="preserve">wstępu na imprezę masową </w:t>
      </w:r>
      <w:r w:rsidRPr="00140410">
        <w:rPr>
          <w:rFonts w:asciiTheme="majorHAnsi" w:hAnsiTheme="majorHAnsi"/>
          <w:b/>
        </w:rPr>
        <w:t>orzeka się w przedziale:</w:t>
      </w:r>
    </w:p>
    <w:p w:rsidR="00140410" w:rsidRPr="00140410" w:rsidRDefault="00140410" w:rsidP="00140410">
      <w:pPr>
        <w:pStyle w:val="Akapitzlist"/>
        <w:spacing w:after="160" w:line="256" w:lineRule="auto"/>
        <w:ind w:left="360"/>
        <w:jc w:val="both"/>
        <w:rPr>
          <w:rFonts w:asciiTheme="majorHAnsi" w:hAnsiTheme="majorHAnsi"/>
        </w:rPr>
      </w:pPr>
    </w:p>
    <w:p w:rsidR="00140410" w:rsidRPr="00140410" w:rsidRDefault="00140410" w:rsidP="00767FC7">
      <w:pPr>
        <w:pStyle w:val="Akapitzlist"/>
        <w:numPr>
          <w:ilvl w:val="0"/>
          <w:numId w:val="9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od roku do 10 lat</w:t>
      </w:r>
      <w:r w:rsidR="00012166">
        <w:rPr>
          <w:rFonts w:asciiTheme="majorHAnsi" w:hAnsiTheme="majorHAnsi"/>
        </w:rPr>
        <w:t>,</w:t>
      </w:r>
    </w:p>
    <w:p w:rsidR="00140410" w:rsidRPr="00140410" w:rsidRDefault="00140410" w:rsidP="00767FC7">
      <w:pPr>
        <w:pStyle w:val="Akapitzlist"/>
        <w:numPr>
          <w:ilvl w:val="0"/>
          <w:numId w:val="9"/>
        </w:numPr>
        <w:spacing w:after="160" w:line="360" w:lineRule="auto"/>
        <w:rPr>
          <w:rFonts w:asciiTheme="majorHAnsi" w:hAnsiTheme="majorHAnsi"/>
          <w:bCs/>
        </w:rPr>
      </w:pPr>
      <w:r w:rsidRPr="00140410">
        <w:rPr>
          <w:rFonts w:asciiTheme="majorHAnsi" w:hAnsiTheme="majorHAnsi"/>
          <w:bCs/>
        </w:rPr>
        <w:t>od roku do 15 lat</w:t>
      </w:r>
      <w:r w:rsidR="00012166">
        <w:rPr>
          <w:rFonts w:asciiTheme="majorHAnsi" w:hAnsiTheme="majorHAnsi"/>
          <w:bCs/>
        </w:rPr>
        <w:t>,</w:t>
      </w:r>
    </w:p>
    <w:p w:rsidR="00140410" w:rsidRDefault="00140410" w:rsidP="00767FC7">
      <w:pPr>
        <w:pStyle w:val="Akapitzlist"/>
        <w:numPr>
          <w:ilvl w:val="0"/>
          <w:numId w:val="9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od 6 miesięcy do 10 lat</w:t>
      </w:r>
      <w:r w:rsidR="006E3141">
        <w:rPr>
          <w:rFonts w:asciiTheme="majorHAnsi" w:hAnsiTheme="majorHAnsi"/>
        </w:rPr>
        <w:t>.</w:t>
      </w:r>
    </w:p>
    <w:p w:rsidR="004D70B1" w:rsidRPr="00140410" w:rsidRDefault="004D70B1" w:rsidP="004D70B1">
      <w:pPr>
        <w:pStyle w:val="Akapitzlist"/>
        <w:spacing w:after="160" w:line="360" w:lineRule="auto"/>
        <w:ind w:left="360"/>
        <w:rPr>
          <w:rFonts w:asciiTheme="majorHAnsi" w:hAnsiTheme="majorHAnsi"/>
        </w:rPr>
      </w:pPr>
    </w:p>
    <w:p w:rsidR="00140410" w:rsidRPr="00C40D8B" w:rsidRDefault="00140410" w:rsidP="008228A4">
      <w:pPr>
        <w:pStyle w:val="Akapitzlist"/>
        <w:numPr>
          <w:ilvl w:val="0"/>
          <w:numId w:val="17"/>
        </w:numPr>
        <w:spacing w:after="160" w:line="256" w:lineRule="auto"/>
        <w:rPr>
          <w:rFonts w:asciiTheme="majorHAnsi" w:hAnsiTheme="majorHAnsi"/>
        </w:rPr>
      </w:pPr>
      <w:r w:rsidRPr="00C40D8B">
        <w:rPr>
          <w:rFonts w:asciiTheme="majorHAnsi" w:hAnsiTheme="majorHAnsi"/>
          <w:b/>
        </w:rPr>
        <w:t>Zgodnie z kodeksem karnym środkiem karnym nie jest:</w:t>
      </w:r>
    </w:p>
    <w:p w:rsidR="00C40D8B" w:rsidRPr="00140410" w:rsidRDefault="00C40D8B" w:rsidP="00C40D8B">
      <w:pPr>
        <w:pStyle w:val="Akapitzlist"/>
        <w:spacing w:after="160" w:line="256" w:lineRule="auto"/>
        <w:ind w:left="360"/>
        <w:rPr>
          <w:rFonts w:asciiTheme="majorHAnsi" w:hAnsiTheme="majorHAnsi"/>
        </w:rPr>
      </w:pPr>
    </w:p>
    <w:p w:rsidR="00140410" w:rsidRPr="00140410" w:rsidRDefault="00140410" w:rsidP="00767FC7">
      <w:pPr>
        <w:pStyle w:val="Akapitzlist"/>
        <w:numPr>
          <w:ilvl w:val="0"/>
          <w:numId w:val="10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pozbawienie praw publicznych</w:t>
      </w:r>
      <w:r w:rsidR="00012166">
        <w:rPr>
          <w:rFonts w:asciiTheme="majorHAnsi" w:hAnsiTheme="majorHAnsi"/>
        </w:rPr>
        <w:t>,</w:t>
      </w:r>
    </w:p>
    <w:p w:rsidR="00140410" w:rsidRPr="00140410" w:rsidRDefault="00140410" w:rsidP="00767FC7">
      <w:pPr>
        <w:pStyle w:val="Akapitzlist"/>
        <w:numPr>
          <w:ilvl w:val="0"/>
          <w:numId w:val="10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świadczenie pieniężne</w:t>
      </w:r>
      <w:r w:rsidR="00012166">
        <w:rPr>
          <w:rFonts w:asciiTheme="majorHAnsi" w:hAnsiTheme="majorHAnsi"/>
        </w:rPr>
        <w:t>,</w:t>
      </w:r>
    </w:p>
    <w:p w:rsidR="00140410" w:rsidRPr="00140410" w:rsidRDefault="00140410" w:rsidP="00767FC7">
      <w:pPr>
        <w:pStyle w:val="Akapitzlist"/>
        <w:numPr>
          <w:ilvl w:val="0"/>
          <w:numId w:val="10"/>
        </w:numPr>
        <w:spacing w:after="160" w:line="360" w:lineRule="auto"/>
        <w:rPr>
          <w:rFonts w:asciiTheme="majorHAnsi" w:hAnsiTheme="majorHAnsi"/>
          <w:bCs/>
        </w:rPr>
      </w:pPr>
      <w:r w:rsidRPr="00140410">
        <w:rPr>
          <w:rFonts w:asciiTheme="majorHAnsi" w:hAnsiTheme="majorHAnsi"/>
          <w:bCs/>
        </w:rPr>
        <w:t>nawiązka</w:t>
      </w:r>
      <w:r w:rsidR="00012166">
        <w:rPr>
          <w:rFonts w:asciiTheme="majorHAnsi" w:hAnsiTheme="majorHAnsi"/>
          <w:bCs/>
        </w:rPr>
        <w:t>.</w:t>
      </w:r>
    </w:p>
    <w:p w:rsidR="00140410" w:rsidRPr="00140410" w:rsidRDefault="00140410" w:rsidP="00140410">
      <w:pPr>
        <w:pStyle w:val="Akapitzlist"/>
        <w:rPr>
          <w:rFonts w:asciiTheme="majorHAnsi" w:hAnsiTheme="majorHAnsi"/>
          <w:bCs/>
        </w:rPr>
      </w:pPr>
    </w:p>
    <w:p w:rsidR="00140410" w:rsidRDefault="00140410" w:rsidP="008228A4">
      <w:pPr>
        <w:pStyle w:val="Akapitzlist"/>
        <w:numPr>
          <w:ilvl w:val="0"/>
          <w:numId w:val="17"/>
        </w:numPr>
        <w:spacing w:after="160" w:line="256" w:lineRule="auto"/>
        <w:rPr>
          <w:rFonts w:asciiTheme="majorHAnsi" w:hAnsiTheme="majorHAnsi"/>
          <w:b/>
        </w:rPr>
      </w:pPr>
      <w:r w:rsidRPr="00C40D8B">
        <w:rPr>
          <w:rFonts w:asciiTheme="majorHAnsi" w:hAnsiTheme="majorHAnsi"/>
          <w:b/>
        </w:rPr>
        <w:t>Zgodnie z kodeksem wykroczeń ukaranie uznaje się za niebyłe od wykonania, darowania lub  przedawnienia wykonania kary, po upływie:</w:t>
      </w:r>
    </w:p>
    <w:p w:rsidR="00C40D8B" w:rsidRPr="00C40D8B" w:rsidRDefault="00C40D8B" w:rsidP="00C40D8B">
      <w:pPr>
        <w:pStyle w:val="Akapitzlist"/>
        <w:spacing w:after="160" w:line="256" w:lineRule="auto"/>
        <w:ind w:left="360"/>
        <w:rPr>
          <w:rFonts w:asciiTheme="majorHAnsi" w:hAnsiTheme="majorHAnsi"/>
          <w:b/>
        </w:rPr>
      </w:pPr>
    </w:p>
    <w:p w:rsidR="00140410" w:rsidRPr="00140410" w:rsidRDefault="00012166" w:rsidP="00767FC7">
      <w:pPr>
        <w:pStyle w:val="Akapitzlist"/>
        <w:numPr>
          <w:ilvl w:val="0"/>
          <w:numId w:val="11"/>
        </w:numPr>
        <w:spacing w:after="16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r</w:t>
      </w:r>
      <w:r w:rsidR="00140410" w:rsidRPr="00140410">
        <w:rPr>
          <w:rFonts w:asciiTheme="majorHAnsi" w:hAnsiTheme="majorHAnsi"/>
        </w:rPr>
        <w:t>oku</w:t>
      </w:r>
      <w:r>
        <w:rPr>
          <w:rFonts w:asciiTheme="majorHAnsi" w:hAnsiTheme="majorHAnsi"/>
        </w:rPr>
        <w:t>,</w:t>
      </w:r>
    </w:p>
    <w:p w:rsidR="00140410" w:rsidRPr="00140410" w:rsidRDefault="00140410" w:rsidP="00767FC7">
      <w:pPr>
        <w:pStyle w:val="Akapitzlist"/>
        <w:numPr>
          <w:ilvl w:val="0"/>
          <w:numId w:val="11"/>
        </w:numPr>
        <w:spacing w:after="160" w:line="360" w:lineRule="auto"/>
        <w:rPr>
          <w:rFonts w:asciiTheme="majorHAnsi" w:hAnsiTheme="majorHAnsi"/>
          <w:bCs/>
        </w:rPr>
      </w:pPr>
      <w:r w:rsidRPr="00140410">
        <w:rPr>
          <w:rFonts w:asciiTheme="majorHAnsi" w:hAnsiTheme="majorHAnsi"/>
          <w:bCs/>
        </w:rPr>
        <w:t>dwóch lat</w:t>
      </w:r>
      <w:r w:rsidR="00012166">
        <w:rPr>
          <w:rFonts w:asciiTheme="majorHAnsi" w:hAnsiTheme="majorHAnsi"/>
          <w:bCs/>
        </w:rPr>
        <w:t>,</w:t>
      </w:r>
    </w:p>
    <w:p w:rsidR="00140410" w:rsidRDefault="00140410" w:rsidP="00767FC7">
      <w:pPr>
        <w:pStyle w:val="Akapitzlist"/>
        <w:numPr>
          <w:ilvl w:val="0"/>
          <w:numId w:val="11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trzech lat</w:t>
      </w:r>
      <w:r w:rsidR="00012166">
        <w:rPr>
          <w:rFonts w:asciiTheme="majorHAnsi" w:hAnsiTheme="majorHAnsi"/>
        </w:rPr>
        <w:t>.</w:t>
      </w:r>
    </w:p>
    <w:p w:rsidR="00C40D8B" w:rsidRPr="00140410" w:rsidRDefault="00C40D8B" w:rsidP="00C40D8B">
      <w:pPr>
        <w:pStyle w:val="Akapitzlist"/>
        <w:spacing w:after="160" w:line="256" w:lineRule="auto"/>
        <w:ind w:left="360"/>
        <w:rPr>
          <w:rFonts w:asciiTheme="majorHAnsi" w:hAnsiTheme="majorHAnsi"/>
        </w:rPr>
      </w:pPr>
    </w:p>
    <w:p w:rsidR="00140410" w:rsidRPr="008228A4" w:rsidRDefault="00140410" w:rsidP="008228A4">
      <w:pPr>
        <w:pStyle w:val="Akapitzlist"/>
        <w:numPr>
          <w:ilvl w:val="0"/>
          <w:numId w:val="17"/>
        </w:numPr>
        <w:tabs>
          <w:tab w:val="num" w:pos="360"/>
        </w:tabs>
        <w:rPr>
          <w:rFonts w:asciiTheme="majorHAnsi" w:hAnsiTheme="majorHAnsi"/>
          <w:b/>
        </w:rPr>
      </w:pPr>
      <w:bookmarkStart w:id="1" w:name="_Hlk176798036"/>
      <w:r w:rsidRPr="008228A4">
        <w:rPr>
          <w:rFonts w:asciiTheme="majorHAnsi" w:hAnsiTheme="majorHAnsi"/>
          <w:b/>
        </w:rPr>
        <w:t>Według kodeksu postępowania karnego oskarżony musi mieć obrońcę w postępowaniu   karnym jeżeli:</w:t>
      </w:r>
    </w:p>
    <w:p w:rsidR="00C40D8B" w:rsidRPr="00C40D8B" w:rsidRDefault="00C40D8B" w:rsidP="00C40D8B">
      <w:pPr>
        <w:pStyle w:val="Akapitzlist"/>
        <w:ind w:left="360"/>
        <w:rPr>
          <w:rFonts w:asciiTheme="majorHAnsi" w:hAnsiTheme="majorHAnsi"/>
          <w:b/>
        </w:rPr>
      </w:pPr>
    </w:p>
    <w:p w:rsidR="00140410" w:rsidRPr="00140410" w:rsidRDefault="00140410" w:rsidP="00767FC7">
      <w:pPr>
        <w:pStyle w:val="Akapitzlist"/>
        <w:numPr>
          <w:ilvl w:val="0"/>
          <w:numId w:val="18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jest cudzoziemcem w każdym przypadku</w:t>
      </w:r>
      <w:r w:rsidR="00012166">
        <w:rPr>
          <w:rFonts w:asciiTheme="majorHAnsi" w:hAnsiTheme="majorHAnsi"/>
        </w:rPr>
        <w:t>,</w:t>
      </w:r>
    </w:p>
    <w:p w:rsidR="00140410" w:rsidRPr="00140410" w:rsidRDefault="00140410" w:rsidP="00767FC7">
      <w:pPr>
        <w:pStyle w:val="Akapitzlist"/>
        <w:numPr>
          <w:ilvl w:val="0"/>
          <w:numId w:val="18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jest cudzoziemcem nie władającym językiem polskim</w:t>
      </w:r>
      <w:r w:rsidR="00012166">
        <w:rPr>
          <w:rFonts w:asciiTheme="majorHAnsi" w:hAnsiTheme="majorHAnsi"/>
        </w:rPr>
        <w:t>,</w:t>
      </w:r>
    </w:p>
    <w:p w:rsidR="00140410" w:rsidRDefault="00140410" w:rsidP="00767FC7">
      <w:pPr>
        <w:pStyle w:val="Akapitzlist"/>
        <w:numPr>
          <w:ilvl w:val="0"/>
          <w:numId w:val="18"/>
        </w:numPr>
        <w:spacing w:after="160" w:line="360" w:lineRule="auto"/>
        <w:rPr>
          <w:rFonts w:asciiTheme="majorHAnsi" w:hAnsiTheme="majorHAnsi"/>
        </w:rPr>
      </w:pPr>
      <w:r w:rsidRPr="00140410">
        <w:rPr>
          <w:rFonts w:asciiTheme="majorHAnsi" w:hAnsiTheme="majorHAnsi"/>
        </w:rPr>
        <w:t>nie ukończył 18 lat</w:t>
      </w:r>
      <w:r w:rsidR="00012166">
        <w:rPr>
          <w:rFonts w:asciiTheme="majorHAnsi" w:hAnsiTheme="majorHAnsi"/>
        </w:rPr>
        <w:t>.</w:t>
      </w:r>
    </w:p>
    <w:p w:rsidR="00C40D8B" w:rsidRPr="00C40D8B" w:rsidRDefault="00C40D8B" w:rsidP="00C40D8B">
      <w:pPr>
        <w:spacing w:after="160" w:line="256" w:lineRule="auto"/>
        <w:rPr>
          <w:rFonts w:asciiTheme="majorHAnsi" w:hAnsiTheme="majorHAnsi"/>
        </w:rPr>
      </w:pPr>
    </w:p>
    <w:p w:rsidR="00140410" w:rsidRPr="00C40D8B" w:rsidRDefault="00C40D8B" w:rsidP="00C40D8B">
      <w:pPr>
        <w:spacing w:after="160" w:line="256" w:lineRule="auto"/>
        <w:rPr>
          <w:rFonts w:asciiTheme="majorHAnsi" w:hAnsiTheme="majorHAnsi"/>
          <w:b/>
        </w:rPr>
      </w:pPr>
      <w:r w:rsidRPr="00C40D8B">
        <w:rPr>
          <w:rFonts w:asciiTheme="majorHAnsi" w:hAnsiTheme="majorHAnsi"/>
          <w:b/>
        </w:rPr>
        <w:t xml:space="preserve">30. </w:t>
      </w:r>
      <w:r w:rsidR="00140410" w:rsidRPr="00C40D8B">
        <w:rPr>
          <w:rFonts w:asciiTheme="majorHAnsi" w:hAnsiTheme="majorHAnsi"/>
          <w:b/>
        </w:rPr>
        <w:t>Według kodeksu postępowania karnego bezwzględną przesłanką odwoławczą nie jest:</w:t>
      </w:r>
    </w:p>
    <w:p w:rsidR="00140410" w:rsidRDefault="00140410" w:rsidP="00767FC7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Theme="majorHAnsi" w:hAnsiTheme="majorHAnsi"/>
        </w:rPr>
      </w:pPr>
      <w:r w:rsidRPr="00C40D8B">
        <w:rPr>
          <w:rFonts w:asciiTheme="majorHAnsi" w:hAnsiTheme="majorHAnsi"/>
        </w:rPr>
        <w:t>wydanie orzeczenia przez sąd niższego rzędu w sprawie należącej do właściwości sądu    wyższego rzędu</w:t>
      </w:r>
      <w:r w:rsidR="00012166">
        <w:rPr>
          <w:rFonts w:asciiTheme="majorHAnsi" w:hAnsiTheme="majorHAnsi"/>
        </w:rPr>
        <w:t>,</w:t>
      </w:r>
    </w:p>
    <w:p w:rsidR="00140410" w:rsidRDefault="00140410" w:rsidP="00767FC7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Theme="majorHAnsi" w:hAnsiTheme="majorHAnsi"/>
        </w:rPr>
      </w:pPr>
      <w:r w:rsidRPr="00C40D8B">
        <w:rPr>
          <w:rFonts w:asciiTheme="majorHAnsi" w:hAnsiTheme="majorHAnsi"/>
        </w:rPr>
        <w:t>sprawę rozpoznano pod nieobecność oskarżonego, którego obecność była obowiązkowa</w:t>
      </w:r>
      <w:r w:rsidR="00012166">
        <w:rPr>
          <w:rFonts w:asciiTheme="majorHAnsi" w:hAnsiTheme="majorHAnsi"/>
        </w:rPr>
        <w:t>,</w:t>
      </w:r>
    </w:p>
    <w:p w:rsidR="00140410" w:rsidRDefault="00140410" w:rsidP="00767FC7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Theme="majorHAnsi" w:hAnsiTheme="majorHAnsi"/>
        </w:rPr>
      </w:pPr>
      <w:r w:rsidRPr="00C40D8B">
        <w:rPr>
          <w:rFonts w:asciiTheme="majorHAnsi" w:hAnsiTheme="majorHAnsi"/>
        </w:rPr>
        <w:t>sąd nie pouczył świadka o przysługującym mu prawie do odmowy składania zeznań, które stanowiły istotny materiał dowodowy będący podstawą wyroku skazującego</w:t>
      </w:r>
      <w:r w:rsidR="00012166">
        <w:rPr>
          <w:rFonts w:asciiTheme="majorHAnsi" w:hAnsiTheme="majorHAnsi"/>
        </w:rPr>
        <w:t>.</w:t>
      </w:r>
    </w:p>
    <w:p w:rsidR="00140410" w:rsidRPr="00C40D8B" w:rsidRDefault="00140410" w:rsidP="00140410">
      <w:pPr>
        <w:jc w:val="both"/>
        <w:rPr>
          <w:rFonts w:asciiTheme="majorHAnsi" w:hAnsiTheme="majorHAnsi"/>
          <w:b/>
        </w:rPr>
      </w:pPr>
      <w:r w:rsidRPr="00140410">
        <w:rPr>
          <w:rFonts w:asciiTheme="majorHAnsi" w:hAnsiTheme="majorHAnsi"/>
        </w:rPr>
        <w:t xml:space="preserve">   </w:t>
      </w:r>
      <w:r w:rsidR="00C40D8B" w:rsidRPr="00C40D8B">
        <w:rPr>
          <w:rFonts w:asciiTheme="majorHAnsi" w:hAnsiTheme="majorHAnsi"/>
          <w:b/>
        </w:rPr>
        <w:t>31</w:t>
      </w:r>
      <w:r w:rsidR="00C40D8B">
        <w:rPr>
          <w:rFonts w:asciiTheme="majorHAnsi" w:hAnsiTheme="majorHAnsi"/>
        </w:rPr>
        <w:t xml:space="preserve">. </w:t>
      </w:r>
      <w:r w:rsidRPr="00C40D8B">
        <w:rPr>
          <w:rFonts w:asciiTheme="majorHAnsi" w:hAnsiTheme="majorHAnsi"/>
          <w:b/>
        </w:rPr>
        <w:t>Według kodeksu karnego jednym z warunków dobrowolnego poddania się karze przez oskarżonego na rozprawie głównej jest zagrożenie karą za zarzucane mu przestępstwo:</w:t>
      </w:r>
    </w:p>
    <w:p w:rsidR="00140410" w:rsidRPr="00C40D8B" w:rsidRDefault="00140410" w:rsidP="00C40D8B">
      <w:pPr>
        <w:jc w:val="both"/>
        <w:rPr>
          <w:rFonts w:asciiTheme="majorHAnsi" w:hAnsiTheme="majorHAnsi"/>
        </w:rPr>
      </w:pPr>
      <w:r w:rsidRPr="00C40D8B">
        <w:rPr>
          <w:rFonts w:asciiTheme="majorHAnsi" w:hAnsiTheme="majorHAnsi"/>
        </w:rPr>
        <w:t xml:space="preserve">    a)  do 10 lat pozbawienia wolności</w:t>
      </w:r>
      <w:r w:rsidR="00012166">
        <w:rPr>
          <w:rFonts w:asciiTheme="majorHAnsi" w:hAnsiTheme="majorHAnsi"/>
        </w:rPr>
        <w:t>,</w:t>
      </w:r>
    </w:p>
    <w:p w:rsidR="00140410" w:rsidRPr="00140410" w:rsidRDefault="00140410" w:rsidP="00C40D8B">
      <w:pPr>
        <w:jc w:val="both"/>
        <w:rPr>
          <w:rFonts w:asciiTheme="majorHAnsi" w:hAnsiTheme="majorHAnsi"/>
        </w:rPr>
      </w:pPr>
      <w:r w:rsidRPr="00140410">
        <w:rPr>
          <w:rFonts w:asciiTheme="majorHAnsi" w:hAnsiTheme="majorHAnsi"/>
        </w:rPr>
        <w:t xml:space="preserve">    b)  do 15 lat pozbawienia wolności</w:t>
      </w:r>
      <w:r w:rsidR="00012166">
        <w:rPr>
          <w:rFonts w:asciiTheme="majorHAnsi" w:hAnsiTheme="majorHAnsi"/>
        </w:rPr>
        <w:t>,</w:t>
      </w:r>
    </w:p>
    <w:p w:rsidR="00140410" w:rsidRDefault="00140410" w:rsidP="00C40D8B">
      <w:pPr>
        <w:jc w:val="both"/>
        <w:rPr>
          <w:rFonts w:asciiTheme="majorHAnsi" w:hAnsiTheme="majorHAnsi"/>
        </w:rPr>
      </w:pPr>
      <w:r w:rsidRPr="00140410">
        <w:rPr>
          <w:rFonts w:asciiTheme="majorHAnsi" w:hAnsiTheme="majorHAnsi"/>
        </w:rPr>
        <w:t xml:space="preserve">    c)  przepisy nie określają górnej granicy zagrożenia karą pozbawienia wolności</w:t>
      </w:r>
      <w:r w:rsidR="00012166">
        <w:rPr>
          <w:rFonts w:asciiTheme="majorHAnsi" w:hAnsiTheme="majorHAnsi"/>
        </w:rPr>
        <w:t>.</w:t>
      </w:r>
    </w:p>
    <w:p w:rsidR="00C40D8B" w:rsidRPr="00140410" w:rsidRDefault="00C40D8B" w:rsidP="00C40D8B">
      <w:pPr>
        <w:jc w:val="both"/>
        <w:rPr>
          <w:rFonts w:asciiTheme="majorHAnsi" w:hAnsiTheme="majorHAnsi"/>
        </w:rPr>
      </w:pPr>
    </w:p>
    <w:p w:rsidR="00140410" w:rsidRPr="00C40D8B" w:rsidRDefault="00140410" w:rsidP="00140410">
      <w:pPr>
        <w:jc w:val="both"/>
        <w:rPr>
          <w:rFonts w:asciiTheme="majorHAnsi" w:hAnsiTheme="majorHAnsi"/>
          <w:b/>
        </w:rPr>
      </w:pPr>
      <w:r w:rsidRPr="00C40D8B">
        <w:rPr>
          <w:rFonts w:asciiTheme="majorHAnsi" w:hAnsiTheme="majorHAnsi"/>
          <w:b/>
        </w:rPr>
        <w:lastRenderedPageBreak/>
        <w:t xml:space="preserve"> </w:t>
      </w:r>
      <w:r w:rsidR="00C40D8B" w:rsidRPr="00C40D8B">
        <w:rPr>
          <w:rFonts w:asciiTheme="majorHAnsi" w:hAnsiTheme="majorHAnsi"/>
          <w:b/>
        </w:rPr>
        <w:t xml:space="preserve">32.  </w:t>
      </w:r>
      <w:r w:rsidRPr="00C40D8B">
        <w:rPr>
          <w:rFonts w:asciiTheme="majorHAnsi" w:hAnsiTheme="majorHAnsi"/>
          <w:b/>
        </w:rPr>
        <w:t xml:space="preserve">Z przestępstwem wyłudzenia mienia ( art. 286 </w:t>
      </w:r>
      <w:r w:rsidRPr="00C40D8B">
        <w:rPr>
          <w:rFonts w:asciiTheme="majorHAnsi" w:hAnsiTheme="majorHAnsi" w:cstheme="minorHAnsi"/>
          <w:b/>
        </w:rPr>
        <w:t>§</w:t>
      </w:r>
      <w:r w:rsidRPr="00C40D8B">
        <w:rPr>
          <w:rFonts w:asciiTheme="majorHAnsi" w:hAnsiTheme="majorHAnsi"/>
          <w:b/>
        </w:rPr>
        <w:t xml:space="preserve"> 1 kk) mamy do czynienia gdy:</w:t>
      </w:r>
    </w:p>
    <w:p w:rsidR="00140410" w:rsidRPr="00140410" w:rsidRDefault="00140410" w:rsidP="00C40D8B">
      <w:pPr>
        <w:jc w:val="both"/>
        <w:rPr>
          <w:rFonts w:asciiTheme="majorHAnsi" w:hAnsiTheme="majorHAnsi"/>
        </w:rPr>
      </w:pPr>
      <w:r w:rsidRPr="00140410">
        <w:rPr>
          <w:rFonts w:asciiTheme="majorHAnsi" w:hAnsiTheme="majorHAnsi"/>
        </w:rPr>
        <w:t xml:space="preserve">  a)  wartość rozporządzonego mienia przekracza kwotę 800 zł</w:t>
      </w:r>
      <w:r w:rsidR="00012166">
        <w:rPr>
          <w:rFonts w:asciiTheme="majorHAnsi" w:hAnsiTheme="majorHAnsi"/>
        </w:rPr>
        <w:t>,</w:t>
      </w:r>
    </w:p>
    <w:p w:rsidR="00140410" w:rsidRPr="00140410" w:rsidRDefault="00140410" w:rsidP="00C40D8B">
      <w:pPr>
        <w:jc w:val="both"/>
        <w:rPr>
          <w:rFonts w:asciiTheme="majorHAnsi" w:hAnsiTheme="majorHAnsi"/>
        </w:rPr>
      </w:pPr>
      <w:r w:rsidRPr="00140410">
        <w:rPr>
          <w:rFonts w:asciiTheme="majorHAnsi" w:hAnsiTheme="majorHAnsi"/>
        </w:rPr>
        <w:t xml:space="preserve">  b)  wartość rozporządzonego mienia przekracza 20% najniższego wynagrodzenia</w:t>
      </w:r>
      <w:r w:rsidR="00012166">
        <w:rPr>
          <w:rFonts w:asciiTheme="majorHAnsi" w:hAnsiTheme="majorHAnsi"/>
        </w:rPr>
        <w:t>,</w:t>
      </w:r>
    </w:p>
    <w:p w:rsidR="00140410" w:rsidRDefault="00140410" w:rsidP="00C40D8B">
      <w:pPr>
        <w:jc w:val="both"/>
        <w:rPr>
          <w:rFonts w:asciiTheme="majorHAnsi" w:hAnsiTheme="majorHAnsi"/>
        </w:rPr>
      </w:pPr>
      <w:r w:rsidRPr="00140410">
        <w:rPr>
          <w:rFonts w:asciiTheme="majorHAnsi" w:hAnsiTheme="majorHAnsi"/>
        </w:rPr>
        <w:t xml:space="preserve">   c)  dochodzi do rozporządzenia mieniem jakiejkolwiek wartości</w:t>
      </w:r>
      <w:r w:rsidR="00012166">
        <w:rPr>
          <w:rFonts w:asciiTheme="majorHAnsi" w:hAnsiTheme="majorHAnsi"/>
        </w:rPr>
        <w:t>.</w:t>
      </w:r>
    </w:p>
    <w:p w:rsidR="004D70B1" w:rsidRDefault="004D70B1" w:rsidP="00C40D8B">
      <w:pPr>
        <w:jc w:val="both"/>
        <w:rPr>
          <w:rFonts w:asciiTheme="majorHAnsi" w:hAnsiTheme="majorHAnsi"/>
        </w:rPr>
      </w:pPr>
    </w:p>
    <w:p w:rsidR="00140410" w:rsidRPr="00CB5077" w:rsidRDefault="00CB5077" w:rsidP="00140410">
      <w:pPr>
        <w:jc w:val="both"/>
        <w:rPr>
          <w:rFonts w:asciiTheme="majorHAnsi" w:hAnsiTheme="majorHAnsi"/>
          <w:b/>
        </w:rPr>
      </w:pPr>
      <w:r w:rsidRPr="00CB5077">
        <w:rPr>
          <w:rFonts w:asciiTheme="majorHAnsi" w:hAnsiTheme="majorHAnsi"/>
          <w:b/>
        </w:rPr>
        <w:t xml:space="preserve">33. </w:t>
      </w:r>
      <w:r w:rsidR="00140410" w:rsidRPr="00CB5077">
        <w:rPr>
          <w:rFonts w:asciiTheme="majorHAnsi" w:hAnsiTheme="majorHAnsi"/>
          <w:b/>
        </w:rPr>
        <w:t xml:space="preserve"> Według kodeksu karnego w przypadku ograniczonej poczytalności sąd:</w:t>
      </w:r>
    </w:p>
    <w:p w:rsidR="00140410" w:rsidRPr="00140410" w:rsidRDefault="00140410" w:rsidP="00140410">
      <w:pPr>
        <w:jc w:val="both"/>
        <w:rPr>
          <w:rFonts w:asciiTheme="majorHAnsi" w:hAnsiTheme="majorHAnsi"/>
        </w:rPr>
      </w:pPr>
      <w:r w:rsidRPr="00140410">
        <w:rPr>
          <w:rFonts w:asciiTheme="majorHAnsi" w:hAnsiTheme="majorHAnsi"/>
        </w:rPr>
        <w:t>a)  może zastosować nadzwyczajne złagodzenie kary</w:t>
      </w:r>
      <w:r w:rsidR="00012166">
        <w:rPr>
          <w:rFonts w:asciiTheme="majorHAnsi" w:hAnsiTheme="majorHAnsi"/>
        </w:rPr>
        <w:t>,</w:t>
      </w:r>
    </w:p>
    <w:p w:rsidR="00140410" w:rsidRPr="00140410" w:rsidRDefault="00140410" w:rsidP="00140410">
      <w:pPr>
        <w:jc w:val="both"/>
        <w:rPr>
          <w:rFonts w:asciiTheme="majorHAnsi" w:hAnsiTheme="majorHAnsi"/>
        </w:rPr>
      </w:pPr>
      <w:r w:rsidRPr="00140410">
        <w:rPr>
          <w:rFonts w:asciiTheme="majorHAnsi" w:hAnsiTheme="majorHAnsi"/>
        </w:rPr>
        <w:t>b)  musi zastosować nadzwyczajne złagodzenie kary</w:t>
      </w:r>
      <w:r w:rsidR="00012166">
        <w:rPr>
          <w:rFonts w:asciiTheme="majorHAnsi" w:hAnsiTheme="majorHAnsi"/>
        </w:rPr>
        <w:t>,</w:t>
      </w:r>
    </w:p>
    <w:p w:rsidR="00140410" w:rsidRDefault="00140410" w:rsidP="00140410">
      <w:pPr>
        <w:jc w:val="both"/>
        <w:rPr>
          <w:rFonts w:asciiTheme="majorHAnsi" w:hAnsiTheme="majorHAnsi"/>
        </w:rPr>
      </w:pPr>
      <w:r w:rsidRPr="00140410">
        <w:rPr>
          <w:rFonts w:asciiTheme="majorHAnsi" w:hAnsiTheme="majorHAnsi"/>
        </w:rPr>
        <w:t>c) może odstąpić od wymierzenia kary</w:t>
      </w:r>
      <w:r w:rsidR="00012166">
        <w:rPr>
          <w:rFonts w:asciiTheme="majorHAnsi" w:hAnsiTheme="majorHAnsi"/>
        </w:rPr>
        <w:t>.</w:t>
      </w:r>
    </w:p>
    <w:p w:rsidR="00CB5077" w:rsidRPr="00140410" w:rsidRDefault="00CB5077" w:rsidP="00140410">
      <w:pPr>
        <w:jc w:val="both"/>
        <w:rPr>
          <w:rFonts w:asciiTheme="majorHAnsi" w:hAnsiTheme="majorHAnsi"/>
        </w:rPr>
      </w:pPr>
    </w:p>
    <w:p w:rsidR="00CB5077" w:rsidRDefault="00CB5077" w:rsidP="00140410">
      <w:pPr>
        <w:jc w:val="both"/>
        <w:rPr>
          <w:rFonts w:asciiTheme="majorHAnsi" w:hAnsiTheme="majorHAnsi"/>
          <w:b/>
        </w:rPr>
      </w:pPr>
      <w:r w:rsidRPr="00CB5077">
        <w:rPr>
          <w:rFonts w:asciiTheme="majorHAnsi" w:hAnsiTheme="majorHAnsi"/>
          <w:b/>
        </w:rPr>
        <w:t xml:space="preserve">34.  </w:t>
      </w:r>
      <w:r w:rsidR="00140410" w:rsidRPr="00CB5077">
        <w:rPr>
          <w:rFonts w:asciiTheme="majorHAnsi" w:hAnsiTheme="majorHAnsi"/>
          <w:b/>
        </w:rPr>
        <w:t xml:space="preserve"> Według kodeksu karnego funkcjonariuszem publicznym nie jest :</w:t>
      </w:r>
    </w:p>
    <w:p w:rsidR="00140410" w:rsidRDefault="00140410" w:rsidP="00012166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Theme="majorHAnsi" w:hAnsiTheme="majorHAnsi"/>
        </w:rPr>
      </w:pPr>
      <w:r w:rsidRPr="00CB5077">
        <w:rPr>
          <w:rFonts w:asciiTheme="majorHAnsi" w:hAnsiTheme="majorHAnsi"/>
        </w:rPr>
        <w:t>osoba pełniąca czynną służbę wojskową w terytorialnej służbie wojskowej pełnioną dyspozycyjnie</w:t>
      </w:r>
      <w:r w:rsidR="00012166">
        <w:rPr>
          <w:rFonts w:asciiTheme="majorHAnsi" w:hAnsiTheme="majorHAnsi"/>
        </w:rPr>
        <w:t>,</w:t>
      </w:r>
    </w:p>
    <w:p w:rsidR="00140410" w:rsidRDefault="00140410" w:rsidP="00012166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Theme="majorHAnsi" w:hAnsiTheme="majorHAnsi"/>
        </w:rPr>
      </w:pPr>
      <w:r w:rsidRPr="00CB5077">
        <w:rPr>
          <w:rFonts w:asciiTheme="majorHAnsi" w:hAnsiTheme="majorHAnsi"/>
        </w:rPr>
        <w:t>inspektor inspekcji wodnej</w:t>
      </w:r>
      <w:r w:rsidR="00012166">
        <w:rPr>
          <w:rFonts w:asciiTheme="majorHAnsi" w:hAnsiTheme="majorHAnsi"/>
        </w:rPr>
        <w:t>,</w:t>
      </w:r>
    </w:p>
    <w:p w:rsidR="00140410" w:rsidRDefault="00140410" w:rsidP="00012166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Theme="majorHAnsi" w:hAnsiTheme="majorHAnsi"/>
        </w:rPr>
      </w:pPr>
      <w:r w:rsidRPr="00CB5077">
        <w:rPr>
          <w:rFonts w:asciiTheme="majorHAnsi" w:hAnsiTheme="majorHAnsi"/>
        </w:rPr>
        <w:t>pracownik międzynarodowego trybunału karnego nie pełniący wyłącznie czynności usługowych</w:t>
      </w:r>
      <w:r w:rsidR="00012166">
        <w:rPr>
          <w:rFonts w:asciiTheme="majorHAnsi" w:hAnsiTheme="majorHAnsi"/>
        </w:rPr>
        <w:t>.</w:t>
      </w:r>
    </w:p>
    <w:p w:rsidR="00140410" w:rsidRPr="00CB5077" w:rsidRDefault="00CB5077" w:rsidP="00CB5077">
      <w:pPr>
        <w:jc w:val="both"/>
        <w:rPr>
          <w:rFonts w:asciiTheme="majorHAnsi" w:hAnsiTheme="majorHAnsi"/>
        </w:rPr>
      </w:pPr>
      <w:r w:rsidRPr="00CB5077">
        <w:rPr>
          <w:rFonts w:asciiTheme="majorHAnsi" w:hAnsiTheme="majorHAnsi"/>
          <w:b/>
        </w:rPr>
        <w:t xml:space="preserve">35.  </w:t>
      </w:r>
      <w:r w:rsidR="00140410" w:rsidRPr="00CB5077">
        <w:rPr>
          <w:rFonts w:asciiTheme="majorHAnsi" w:hAnsiTheme="majorHAnsi"/>
          <w:b/>
        </w:rPr>
        <w:t xml:space="preserve"> Podstawą oddalenia wniosku dowodowego według Kodeksu postępowania karnego nie może być</w:t>
      </w:r>
      <w:r w:rsidR="00140410" w:rsidRPr="00CB5077">
        <w:rPr>
          <w:rFonts w:asciiTheme="majorHAnsi" w:hAnsiTheme="majorHAnsi"/>
        </w:rPr>
        <w:t>:</w:t>
      </w:r>
    </w:p>
    <w:p w:rsidR="00140410" w:rsidRPr="00140410" w:rsidRDefault="00140410" w:rsidP="00140410">
      <w:pPr>
        <w:jc w:val="both"/>
        <w:rPr>
          <w:rFonts w:asciiTheme="majorHAnsi" w:hAnsiTheme="majorHAnsi"/>
        </w:rPr>
      </w:pPr>
      <w:r w:rsidRPr="00140410">
        <w:rPr>
          <w:rFonts w:asciiTheme="majorHAnsi" w:hAnsiTheme="majorHAnsi"/>
        </w:rPr>
        <w:t>a)  okoliczność, że wcześniej przeprowadzone dowody wykazały już zgłoszoną tezę dowodową</w:t>
      </w:r>
      <w:r w:rsidR="009F457E">
        <w:rPr>
          <w:rFonts w:asciiTheme="majorHAnsi" w:hAnsiTheme="majorHAnsi"/>
        </w:rPr>
        <w:t>,</w:t>
      </w:r>
    </w:p>
    <w:p w:rsidR="00140410" w:rsidRPr="00140410" w:rsidRDefault="00140410" w:rsidP="00140410">
      <w:pPr>
        <w:jc w:val="both"/>
        <w:rPr>
          <w:rFonts w:asciiTheme="majorHAnsi" w:hAnsiTheme="majorHAnsi"/>
        </w:rPr>
      </w:pPr>
      <w:r w:rsidRPr="00140410">
        <w:rPr>
          <w:rFonts w:asciiTheme="majorHAnsi" w:hAnsiTheme="majorHAnsi"/>
        </w:rPr>
        <w:t>b)  dowód jest nieprzydatny do stwierdzenia danej okoliczności</w:t>
      </w:r>
      <w:r w:rsidR="009F457E">
        <w:rPr>
          <w:rFonts w:asciiTheme="majorHAnsi" w:hAnsiTheme="majorHAnsi"/>
        </w:rPr>
        <w:t>,</w:t>
      </w:r>
    </w:p>
    <w:p w:rsidR="00140410" w:rsidRDefault="00140410" w:rsidP="00140410">
      <w:pPr>
        <w:jc w:val="both"/>
        <w:rPr>
          <w:rFonts w:asciiTheme="majorHAnsi" w:hAnsiTheme="majorHAnsi"/>
        </w:rPr>
      </w:pPr>
      <w:r w:rsidRPr="00140410">
        <w:rPr>
          <w:rFonts w:asciiTheme="majorHAnsi" w:hAnsiTheme="majorHAnsi"/>
        </w:rPr>
        <w:t>c) okoliczność że wcześniej przeprowadzone dowody wykazały nieprawdziwość zgłoszonej tezy dowodowej</w:t>
      </w:r>
      <w:r w:rsidR="009F457E">
        <w:rPr>
          <w:rFonts w:asciiTheme="majorHAnsi" w:hAnsiTheme="majorHAnsi"/>
        </w:rPr>
        <w:t>.</w:t>
      </w:r>
      <w:r w:rsidR="004D70B1">
        <w:rPr>
          <w:rFonts w:asciiTheme="majorHAnsi" w:hAnsiTheme="majorHAnsi"/>
        </w:rPr>
        <w:t xml:space="preserve">         </w:t>
      </w:r>
    </w:p>
    <w:p w:rsidR="00140410" w:rsidRPr="00CB5077" w:rsidRDefault="00CB5077" w:rsidP="00140410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</w:rPr>
        <w:t xml:space="preserve">36.  </w:t>
      </w:r>
      <w:r w:rsidR="00140410" w:rsidRPr="00140410">
        <w:rPr>
          <w:rFonts w:asciiTheme="majorHAnsi" w:hAnsiTheme="majorHAnsi"/>
        </w:rPr>
        <w:t xml:space="preserve"> </w:t>
      </w:r>
      <w:r w:rsidR="00140410" w:rsidRPr="00CB5077">
        <w:rPr>
          <w:rFonts w:asciiTheme="majorHAnsi" w:hAnsiTheme="majorHAnsi"/>
          <w:b/>
        </w:rPr>
        <w:t xml:space="preserve">Według kodeksu postępowania karnego wniosek pokrzywdzonego o działaniu </w:t>
      </w:r>
      <w:r w:rsidR="004D70B1">
        <w:rPr>
          <w:rFonts w:asciiTheme="majorHAnsi" w:hAnsiTheme="majorHAnsi"/>
          <w:b/>
        </w:rPr>
        <w:t xml:space="preserve">                               </w:t>
      </w:r>
      <w:r w:rsidR="00140410" w:rsidRPr="00CB5077">
        <w:rPr>
          <w:rFonts w:asciiTheme="majorHAnsi" w:hAnsiTheme="majorHAnsi"/>
          <w:b/>
        </w:rPr>
        <w:t>w charakterze oskarżyciela posiłkowego może być skutecznie zgłoszony do chwili:</w:t>
      </w:r>
    </w:p>
    <w:p w:rsidR="00140410" w:rsidRPr="00140410" w:rsidRDefault="00140410" w:rsidP="00140410">
      <w:pPr>
        <w:jc w:val="both"/>
        <w:rPr>
          <w:rFonts w:asciiTheme="majorHAnsi" w:hAnsiTheme="majorHAnsi"/>
        </w:rPr>
      </w:pPr>
      <w:r w:rsidRPr="00140410">
        <w:rPr>
          <w:rFonts w:asciiTheme="majorHAnsi" w:hAnsiTheme="majorHAnsi"/>
        </w:rPr>
        <w:t>a)  zamknięcia przewodu sądowego przed sądem I instancji</w:t>
      </w:r>
      <w:r w:rsidR="009F457E">
        <w:rPr>
          <w:rFonts w:asciiTheme="majorHAnsi" w:hAnsiTheme="majorHAnsi"/>
        </w:rPr>
        <w:t>,</w:t>
      </w:r>
    </w:p>
    <w:p w:rsidR="00140410" w:rsidRPr="00140410" w:rsidRDefault="00140410" w:rsidP="00140410">
      <w:pPr>
        <w:jc w:val="both"/>
        <w:rPr>
          <w:rFonts w:asciiTheme="majorHAnsi" w:hAnsiTheme="majorHAnsi"/>
        </w:rPr>
      </w:pPr>
      <w:r w:rsidRPr="00140410">
        <w:rPr>
          <w:rFonts w:asciiTheme="majorHAnsi" w:hAnsiTheme="majorHAnsi"/>
        </w:rPr>
        <w:t>b)  do zakończenia postępowania przygotowawczego</w:t>
      </w:r>
      <w:r w:rsidR="009F457E">
        <w:rPr>
          <w:rFonts w:asciiTheme="majorHAnsi" w:hAnsiTheme="majorHAnsi"/>
        </w:rPr>
        <w:t>,</w:t>
      </w:r>
    </w:p>
    <w:p w:rsidR="00140410" w:rsidRPr="00140410" w:rsidRDefault="00140410" w:rsidP="00140410">
      <w:pPr>
        <w:jc w:val="both"/>
        <w:rPr>
          <w:rFonts w:asciiTheme="majorHAnsi" w:hAnsiTheme="majorHAnsi"/>
        </w:rPr>
      </w:pPr>
      <w:r w:rsidRPr="00140410">
        <w:rPr>
          <w:rFonts w:asciiTheme="majorHAnsi" w:hAnsiTheme="majorHAnsi"/>
        </w:rPr>
        <w:t>c)  do czasu rozpoczęcia przewodu sądowego na rozprawie głównej przed sądem I instancji</w:t>
      </w:r>
      <w:r w:rsidR="009F457E">
        <w:rPr>
          <w:rFonts w:asciiTheme="majorHAnsi" w:hAnsiTheme="majorHAnsi"/>
        </w:rPr>
        <w:t>.</w:t>
      </w:r>
    </w:p>
    <w:p w:rsidR="00B94045" w:rsidRDefault="00140410" w:rsidP="00B94045">
      <w:pPr>
        <w:jc w:val="both"/>
        <w:rPr>
          <w:rFonts w:asciiTheme="majorHAnsi" w:hAnsiTheme="majorHAnsi"/>
          <w:b/>
        </w:rPr>
      </w:pPr>
      <w:r w:rsidRPr="00140410">
        <w:rPr>
          <w:rFonts w:asciiTheme="majorHAnsi" w:hAnsiTheme="majorHAnsi"/>
        </w:rPr>
        <w:t xml:space="preserve">       </w:t>
      </w:r>
      <w:bookmarkEnd w:id="1"/>
    </w:p>
    <w:p w:rsidR="00B94045" w:rsidRDefault="00B94045" w:rsidP="00107A2F">
      <w:pPr>
        <w:pStyle w:val="Tekstpodstawowy"/>
        <w:jc w:val="center"/>
        <w:rPr>
          <w:rFonts w:asciiTheme="majorHAnsi" w:hAnsiTheme="majorHAnsi"/>
          <w:b/>
        </w:rPr>
      </w:pPr>
    </w:p>
    <w:p w:rsidR="00AC7E31" w:rsidRDefault="00AC7E31" w:rsidP="00107A2F">
      <w:pPr>
        <w:pStyle w:val="Tekstpodstawowy"/>
        <w:jc w:val="center"/>
        <w:rPr>
          <w:rFonts w:asciiTheme="majorHAnsi" w:hAnsiTheme="majorHAnsi"/>
          <w:b/>
        </w:rPr>
      </w:pPr>
    </w:p>
    <w:p w:rsidR="008133C9" w:rsidRDefault="008133C9" w:rsidP="00107A2F">
      <w:pPr>
        <w:pStyle w:val="Tekstpodstawowy"/>
        <w:jc w:val="center"/>
        <w:rPr>
          <w:rFonts w:asciiTheme="majorHAnsi" w:hAnsiTheme="majorHAnsi"/>
          <w:b/>
        </w:rPr>
      </w:pPr>
    </w:p>
    <w:p w:rsidR="008133C9" w:rsidRDefault="008133C9" w:rsidP="00107A2F">
      <w:pPr>
        <w:pStyle w:val="Tekstpodstawowy"/>
        <w:jc w:val="center"/>
        <w:rPr>
          <w:rFonts w:asciiTheme="majorHAnsi" w:hAnsiTheme="majorHAnsi"/>
          <w:b/>
        </w:rPr>
      </w:pPr>
    </w:p>
    <w:p w:rsidR="008133C9" w:rsidRDefault="008133C9" w:rsidP="00107A2F">
      <w:pPr>
        <w:pStyle w:val="Tekstpodstawowy"/>
        <w:jc w:val="center"/>
        <w:rPr>
          <w:rFonts w:asciiTheme="majorHAnsi" w:hAnsiTheme="majorHAnsi"/>
          <w:b/>
        </w:rPr>
      </w:pPr>
    </w:p>
    <w:p w:rsidR="00A91EF1" w:rsidRPr="00140410" w:rsidRDefault="00A91EF1" w:rsidP="00107A2F">
      <w:pPr>
        <w:pStyle w:val="Tekstpodstawowy"/>
        <w:jc w:val="center"/>
        <w:rPr>
          <w:rFonts w:asciiTheme="majorHAnsi" w:hAnsiTheme="majorHAnsi"/>
          <w:b/>
        </w:rPr>
      </w:pPr>
      <w:r w:rsidRPr="00140410">
        <w:rPr>
          <w:rFonts w:asciiTheme="majorHAnsi" w:hAnsiTheme="majorHAnsi"/>
          <w:b/>
        </w:rPr>
        <w:lastRenderedPageBreak/>
        <w:t>CZĘŚĆ DRUGA: KAZUSY</w:t>
      </w:r>
    </w:p>
    <w:p w:rsidR="00A91EF1" w:rsidRPr="00140410" w:rsidRDefault="004D4381" w:rsidP="00107A2F">
      <w:pPr>
        <w:pStyle w:val="Tekstpodstawowyzwciciem2"/>
        <w:jc w:val="both"/>
        <w:rPr>
          <w:rFonts w:asciiTheme="majorHAnsi" w:hAnsiTheme="majorHAnsi"/>
          <w:b/>
        </w:rPr>
      </w:pPr>
      <w:r w:rsidRPr="00140410">
        <w:rPr>
          <w:rFonts w:asciiTheme="majorHAnsi" w:hAnsiTheme="majorHAnsi"/>
          <w:b/>
        </w:rPr>
        <w:t xml:space="preserve">                     </w:t>
      </w:r>
      <w:r w:rsidR="00A91EF1" w:rsidRPr="00140410">
        <w:rPr>
          <w:rFonts w:asciiTheme="majorHAnsi" w:hAnsiTheme="majorHAnsi"/>
          <w:b/>
        </w:rPr>
        <w:t>(Proszę dokonać wyboru jednego z poniższych kazusów)</w:t>
      </w:r>
    </w:p>
    <w:p w:rsidR="00A91EF1" w:rsidRPr="00140410" w:rsidRDefault="00A91EF1" w:rsidP="00107A2F">
      <w:pPr>
        <w:pStyle w:val="Nagwek4"/>
        <w:jc w:val="both"/>
        <w:rPr>
          <w:color w:val="auto"/>
          <w:u w:val="single"/>
        </w:rPr>
      </w:pPr>
      <w:r w:rsidRPr="00140410">
        <w:rPr>
          <w:color w:val="auto"/>
          <w:u w:val="single"/>
        </w:rPr>
        <w:t xml:space="preserve">Pouczenie </w:t>
      </w:r>
    </w:p>
    <w:p w:rsidR="002C76E0" w:rsidRPr="00140410" w:rsidRDefault="002C76E0" w:rsidP="00107A2F">
      <w:pPr>
        <w:pStyle w:val="Tekstpodstawowy"/>
        <w:jc w:val="both"/>
        <w:rPr>
          <w:rFonts w:asciiTheme="majorHAnsi" w:hAnsiTheme="majorHAnsi"/>
          <w:b/>
        </w:rPr>
      </w:pPr>
      <w:r w:rsidRPr="00140410">
        <w:rPr>
          <w:rFonts w:asciiTheme="majorHAnsi" w:hAnsiTheme="majorHAnsi"/>
          <w:b/>
        </w:rPr>
        <w:t>Ocenie będą podlegały umiejętności stosowania prawa oraz  formułowania odpowiedzi</w:t>
      </w:r>
      <w:r w:rsidR="009747B7" w:rsidRPr="00140410">
        <w:rPr>
          <w:rFonts w:asciiTheme="majorHAnsi" w:hAnsiTheme="majorHAnsi"/>
          <w:b/>
        </w:rPr>
        <w:t xml:space="preserve"> </w:t>
      </w:r>
      <w:r w:rsidR="00853E8C" w:rsidRPr="00140410">
        <w:rPr>
          <w:rFonts w:asciiTheme="majorHAnsi" w:hAnsiTheme="majorHAnsi"/>
          <w:b/>
        </w:rPr>
        <w:t xml:space="preserve">                    </w:t>
      </w:r>
      <w:r w:rsidR="003968FB" w:rsidRPr="00140410">
        <w:rPr>
          <w:rFonts w:asciiTheme="majorHAnsi" w:hAnsiTheme="majorHAnsi"/>
          <w:b/>
        </w:rPr>
        <w:t xml:space="preserve"> </w:t>
      </w:r>
      <w:r w:rsidRPr="00140410">
        <w:rPr>
          <w:rFonts w:asciiTheme="majorHAnsi" w:hAnsiTheme="majorHAnsi"/>
          <w:b/>
        </w:rPr>
        <w:t>z uwzględnieniem wymogów poprawności językowej, logiki</w:t>
      </w:r>
      <w:r w:rsidR="00370AF7" w:rsidRPr="00140410">
        <w:rPr>
          <w:rFonts w:asciiTheme="majorHAnsi" w:hAnsiTheme="majorHAnsi"/>
          <w:b/>
        </w:rPr>
        <w:t xml:space="preserve"> </w:t>
      </w:r>
      <w:r w:rsidR="001304E7" w:rsidRPr="00140410">
        <w:rPr>
          <w:rFonts w:asciiTheme="majorHAnsi" w:hAnsiTheme="majorHAnsi"/>
          <w:b/>
        </w:rPr>
        <w:t>wywodu</w:t>
      </w:r>
      <w:r w:rsidRPr="00140410">
        <w:rPr>
          <w:rFonts w:asciiTheme="majorHAnsi" w:hAnsiTheme="majorHAnsi"/>
          <w:b/>
        </w:rPr>
        <w:t xml:space="preserve"> i argumentacji prawniczej.   Każdy  z kazusów zostanie oceniony  w</w:t>
      </w:r>
      <w:r w:rsidR="001304E7" w:rsidRPr="00140410">
        <w:rPr>
          <w:rFonts w:asciiTheme="majorHAnsi" w:hAnsiTheme="majorHAnsi"/>
          <w:b/>
        </w:rPr>
        <w:t xml:space="preserve"> skali od 0 do  </w:t>
      </w:r>
      <w:r w:rsidRPr="00140410">
        <w:rPr>
          <w:rFonts w:asciiTheme="majorHAnsi" w:hAnsiTheme="majorHAnsi"/>
          <w:b/>
        </w:rPr>
        <w:t>9 punktów.</w:t>
      </w:r>
    </w:p>
    <w:p w:rsidR="0072664C" w:rsidRPr="00140410" w:rsidRDefault="0072664C" w:rsidP="00107A2F">
      <w:pPr>
        <w:pStyle w:val="Nagwek3"/>
        <w:jc w:val="center"/>
        <w:rPr>
          <w:b/>
          <w:color w:val="auto"/>
          <w:sz w:val="22"/>
          <w:szCs w:val="22"/>
        </w:rPr>
      </w:pPr>
    </w:p>
    <w:p w:rsidR="00827C7E" w:rsidRDefault="00DC4DFD" w:rsidP="00107A2F">
      <w:pPr>
        <w:pStyle w:val="Nagwek3"/>
        <w:jc w:val="center"/>
        <w:rPr>
          <w:b/>
          <w:color w:val="auto"/>
          <w:sz w:val="22"/>
          <w:szCs w:val="22"/>
        </w:rPr>
      </w:pPr>
      <w:r w:rsidRPr="00140410">
        <w:rPr>
          <w:b/>
          <w:color w:val="auto"/>
          <w:sz w:val="22"/>
          <w:szCs w:val="22"/>
        </w:rPr>
        <w:t>KAZUS Z PRAWA CYWILNEGO</w:t>
      </w:r>
    </w:p>
    <w:p w:rsidR="00AC7E31" w:rsidRPr="00AC7E31" w:rsidRDefault="00AC7E31" w:rsidP="00AC7E31"/>
    <w:p w:rsidR="00827C7E" w:rsidRPr="00140410" w:rsidRDefault="00827C7E" w:rsidP="00107A2F">
      <w:pPr>
        <w:ind w:firstLine="708"/>
        <w:jc w:val="both"/>
        <w:rPr>
          <w:rFonts w:asciiTheme="majorHAnsi" w:eastAsia="Calibri" w:hAnsiTheme="majorHAnsi" w:cs="Tahoma"/>
          <w:bCs/>
          <w:lang w:eastAsia="en-US"/>
        </w:rPr>
      </w:pPr>
      <w:r w:rsidRPr="00140410">
        <w:rPr>
          <w:rFonts w:asciiTheme="majorHAnsi" w:eastAsia="Calibri" w:hAnsiTheme="majorHAnsi" w:cs="Tahoma"/>
          <w:bCs/>
          <w:lang w:eastAsia="en-US"/>
        </w:rPr>
        <w:t>Powód Bank Spółdzielczy w Nowej Soli reprezentowany przez profesjonalnego pełnomocnika w osobie radcy prawnego w dniu 10 lipca 2024r. złożył pozew przeciwko Adamowi Kowalczykowi o zapłatę kwoty 15 654 zł z odsetkami ustawowymi za opóźnienie od dnia wniesienia powództwa i o zasądzenie kosztów procesu. W uzasadnieniu wskazał, że strony zawarły umowę kredytu  w wysokości 25 000 zł.</w:t>
      </w:r>
      <w:r w:rsidR="005B4EE4">
        <w:rPr>
          <w:rFonts w:asciiTheme="majorHAnsi" w:eastAsia="Calibri" w:hAnsiTheme="majorHAnsi" w:cs="Tahoma"/>
          <w:bCs/>
          <w:lang w:eastAsia="en-US"/>
        </w:rPr>
        <w:t xml:space="preserve"> </w:t>
      </w:r>
      <w:r w:rsidRPr="00140410">
        <w:rPr>
          <w:rFonts w:asciiTheme="majorHAnsi" w:eastAsia="Calibri" w:hAnsiTheme="majorHAnsi" w:cs="Tahoma"/>
          <w:bCs/>
          <w:lang w:eastAsia="en-US"/>
        </w:rPr>
        <w:t xml:space="preserve"> Z uwagi na to, że pozwany zaprzestał spłacania rat kredytu Bank wypowiedział umowę kredytu, umowa została rozwiązana, zaś do spłaty pozostała kwota, której domaga się pozwem. Od pozwu została uiszczona opłata w kwocie 1000 zł. Odpis pozwu  został doręczony pozwanemu w dniu 19 lipca 2024r.  W odpowiedzi na pozew</w:t>
      </w:r>
      <w:r w:rsidR="005B4EE4">
        <w:rPr>
          <w:rFonts w:asciiTheme="majorHAnsi" w:eastAsia="Calibri" w:hAnsiTheme="majorHAnsi" w:cs="Tahoma"/>
          <w:bCs/>
          <w:lang w:eastAsia="en-US"/>
        </w:rPr>
        <w:t xml:space="preserve"> </w:t>
      </w:r>
      <w:r w:rsidRPr="00140410">
        <w:rPr>
          <w:rFonts w:asciiTheme="majorHAnsi" w:eastAsia="Calibri" w:hAnsiTheme="majorHAnsi" w:cs="Tahoma"/>
          <w:bCs/>
          <w:lang w:eastAsia="en-US"/>
        </w:rPr>
        <w:t>z 29 lipca 2024r. pozwany reprezentowany przez profesjonalnego pełnomocnika wniósł</w:t>
      </w:r>
      <w:r w:rsidR="005B4EE4">
        <w:rPr>
          <w:rFonts w:asciiTheme="majorHAnsi" w:eastAsia="Calibri" w:hAnsiTheme="majorHAnsi" w:cs="Tahoma"/>
          <w:bCs/>
          <w:lang w:eastAsia="en-US"/>
        </w:rPr>
        <w:t xml:space="preserve"> </w:t>
      </w:r>
      <w:r w:rsidRPr="00140410">
        <w:rPr>
          <w:rFonts w:asciiTheme="majorHAnsi" w:eastAsia="Calibri" w:hAnsiTheme="majorHAnsi" w:cs="Tahoma"/>
          <w:bCs/>
          <w:lang w:eastAsia="en-US"/>
        </w:rPr>
        <w:t xml:space="preserve"> o oddalenie powództwa i zasądzenie kosztów procesu kwestionując skuteczność wypowiedzenia umowy kredytu. W dniu 14 sierpnia 2024r. na rachunek Banku wpłynęła od pozwanego kwota 15 654 zł z odsetkami od dnia 10 lipca 2024r. do 13 sierpnia 2024r. </w:t>
      </w:r>
      <w:r w:rsidR="005B4EE4">
        <w:rPr>
          <w:rFonts w:asciiTheme="majorHAnsi" w:eastAsia="Calibri" w:hAnsiTheme="majorHAnsi" w:cs="Tahoma"/>
          <w:bCs/>
          <w:lang w:eastAsia="en-US"/>
        </w:rPr>
        <w:t xml:space="preserve"> </w:t>
      </w:r>
      <w:r w:rsidRPr="00140410">
        <w:rPr>
          <w:rFonts w:asciiTheme="majorHAnsi" w:eastAsia="Calibri" w:hAnsiTheme="majorHAnsi" w:cs="Tahoma"/>
          <w:bCs/>
          <w:lang w:eastAsia="en-US"/>
        </w:rPr>
        <w:t xml:space="preserve">W piśmie procesowym z 20 sierpnia 2024r. Bank cofnął powództwo bez zrzeczenia się roszczenia.  W odpowiedzi na to pismo pełnomocnika pozwanego wyraził zgodę na cofnięcie powództwa  i wniósł o zasądzenie kosztów procesu w kwocie 3617 złotych. </w:t>
      </w:r>
    </w:p>
    <w:p w:rsidR="00827C7E" w:rsidRPr="00140410" w:rsidRDefault="00827C7E" w:rsidP="00107A2F">
      <w:pPr>
        <w:ind w:firstLine="708"/>
        <w:jc w:val="both"/>
        <w:rPr>
          <w:rFonts w:asciiTheme="majorHAnsi" w:eastAsia="Calibri" w:hAnsiTheme="majorHAnsi" w:cs="Tahoma"/>
          <w:b/>
          <w:bCs/>
          <w:lang w:eastAsia="en-US"/>
        </w:rPr>
      </w:pPr>
      <w:r w:rsidRPr="00140410">
        <w:rPr>
          <w:rFonts w:asciiTheme="majorHAnsi" w:eastAsia="Calibri" w:hAnsiTheme="majorHAnsi" w:cs="Tahoma"/>
          <w:b/>
          <w:bCs/>
          <w:lang w:eastAsia="en-US"/>
        </w:rPr>
        <w:t xml:space="preserve">Proszę sporządzić projekt orzeczenia, jakie w opisanych okolicznościach winien wydać Sąd  wraz z uzasadnieniem. </w:t>
      </w: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8133C9" w:rsidRDefault="008133C9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</w:p>
    <w:p w:rsidR="00DC4DFD" w:rsidRPr="00F11838" w:rsidRDefault="00DC4DFD" w:rsidP="00807B75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</w:rPr>
      </w:pPr>
      <w:r w:rsidRPr="00F11838">
        <w:rPr>
          <w:rFonts w:ascii="Cambria" w:hAnsi="Cambria" w:cs="Times New Roman"/>
          <w:b/>
        </w:rPr>
        <w:t>KAZUS Z PRAWA KARNEGO</w:t>
      </w:r>
    </w:p>
    <w:p w:rsidR="00DC4DFD" w:rsidRPr="00F11838" w:rsidRDefault="00DC4DFD" w:rsidP="00F11838">
      <w:pPr>
        <w:tabs>
          <w:tab w:val="left" w:pos="1418"/>
        </w:tabs>
        <w:contextualSpacing/>
        <w:jc w:val="both"/>
        <w:rPr>
          <w:rFonts w:ascii="Cambria" w:hAnsi="Cambria" w:cs="Times New Roman"/>
          <w:b/>
        </w:rPr>
      </w:pPr>
    </w:p>
    <w:p w:rsidR="00F11838" w:rsidRPr="00F11838" w:rsidRDefault="00DC4DFD" w:rsidP="008133C9">
      <w:pPr>
        <w:ind w:firstLine="708"/>
        <w:jc w:val="both"/>
        <w:rPr>
          <w:rFonts w:ascii="Cambria" w:hAnsi="Cambria" w:cstheme="minorHAnsi"/>
        </w:rPr>
      </w:pPr>
      <w:r w:rsidRPr="00F11838">
        <w:rPr>
          <w:rFonts w:ascii="Cambria" w:hAnsi="Cambria"/>
        </w:rPr>
        <w:t xml:space="preserve"> </w:t>
      </w:r>
      <w:r w:rsidR="00F11838" w:rsidRPr="00F11838">
        <w:rPr>
          <w:rFonts w:ascii="Cambria" w:hAnsi="Cambria" w:cstheme="minorHAnsi"/>
        </w:rPr>
        <w:t>Wobec oskarżonego Józefa K. w dniu 3 kwietnia2023 roku został wydany wyrok Sądu Rejonowego w Mińsku Mazowieckim skazujący go za czyn z art. 226</w:t>
      </w:r>
      <w:r w:rsidR="00E008E4">
        <w:rPr>
          <w:rFonts w:ascii="Cambria" w:hAnsi="Cambria" w:cstheme="minorHAnsi"/>
        </w:rPr>
        <w:t>§</w:t>
      </w:r>
      <w:r w:rsidR="00F11838" w:rsidRPr="00F11838">
        <w:rPr>
          <w:rFonts w:ascii="Cambria" w:hAnsi="Cambria" w:cstheme="minorHAnsi"/>
        </w:rPr>
        <w:t xml:space="preserve">1 kk na karę 6 miesięcy pozbawienia wolności z warunkowym zwieszeniem jej wykonania na okres próby 2 lat oraz orzeczono obowiązek informowania Sądu o przebiegu okresu próby, co 6 miesięcy. Józef K. został prawidłowo zawiadomiony o terminie rozprawy, w </w:t>
      </w:r>
      <w:r w:rsidR="00E008E4">
        <w:rPr>
          <w:rFonts w:ascii="Cambria" w:hAnsi="Cambria" w:cstheme="minorHAnsi"/>
        </w:rPr>
        <w:t>k</w:t>
      </w:r>
      <w:r w:rsidR="00F11838" w:rsidRPr="00F11838">
        <w:rPr>
          <w:rFonts w:ascii="Cambria" w:hAnsi="Cambria" w:cstheme="minorHAnsi"/>
        </w:rPr>
        <w:t>tórej jednak nie uczestniczył. Brak było podstaw do doręczania oskarżonemu z urzędu odpisu wyroku.</w:t>
      </w:r>
      <w:r w:rsidR="008133C9">
        <w:rPr>
          <w:rFonts w:ascii="Cambria" w:hAnsi="Cambria" w:cstheme="minorHAnsi"/>
        </w:rPr>
        <w:t xml:space="preserve"> </w:t>
      </w:r>
      <w:r w:rsidR="00F11838" w:rsidRPr="00F11838">
        <w:rPr>
          <w:rFonts w:ascii="Cambria" w:hAnsi="Cambria" w:cstheme="minorHAnsi"/>
        </w:rPr>
        <w:t>W dniu 4 kwietnia 2023 roku oskarżony wyjechał do Gdańska, gdzie przebywał do dnia</w:t>
      </w:r>
      <w:r w:rsidR="00F11838">
        <w:rPr>
          <w:rFonts w:ascii="Cambria" w:hAnsi="Cambria" w:cstheme="minorHAnsi"/>
        </w:rPr>
        <w:t xml:space="preserve"> </w:t>
      </w:r>
      <w:r w:rsidR="00F11838" w:rsidRPr="00F11838">
        <w:rPr>
          <w:rFonts w:ascii="Cambria" w:hAnsi="Cambria" w:cstheme="minorHAnsi"/>
        </w:rPr>
        <w:t>16 kwietnia 2023 roku.</w:t>
      </w:r>
      <w:r w:rsidR="008133C9">
        <w:rPr>
          <w:rFonts w:ascii="Cambria" w:hAnsi="Cambria" w:cstheme="minorHAnsi"/>
        </w:rPr>
        <w:t xml:space="preserve">  </w:t>
      </w:r>
      <w:r w:rsidR="00F11838" w:rsidRPr="00F11838">
        <w:rPr>
          <w:rFonts w:ascii="Cambria" w:hAnsi="Cambria" w:cstheme="minorHAnsi"/>
        </w:rPr>
        <w:t>W dniu 17 kwietnia 2023 roku oskarżony złożył do Sądu Rejonowego w Mińsku Mazowieckim wniosek</w:t>
      </w:r>
      <w:r w:rsidR="008133C9">
        <w:rPr>
          <w:rFonts w:ascii="Cambria" w:hAnsi="Cambria" w:cstheme="minorHAnsi"/>
        </w:rPr>
        <w:t xml:space="preserve">                                 </w:t>
      </w:r>
      <w:r w:rsidR="00F11838" w:rsidRPr="00F11838">
        <w:rPr>
          <w:rFonts w:ascii="Cambria" w:hAnsi="Cambria" w:cstheme="minorHAnsi"/>
        </w:rPr>
        <w:t xml:space="preserve"> o przywrócenie terminu do złożenia wniosku o sporządzenie uzasadnienia wyroku. Swoje stanowisko uzasadnił tym, że nie był na ogłoszeniu wyroku, przebywał poza swoim miejscem zamieszkania, gdyż zlecił mu to jego pracodawca i dlatego nie mógł złożyć wniosku </w:t>
      </w:r>
      <w:r w:rsidR="00E008E4">
        <w:rPr>
          <w:rFonts w:ascii="Cambria" w:hAnsi="Cambria" w:cstheme="minorHAnsi"/>
        </w:rPr>
        <w:t xml:space="preserve">  </w:t>
      </w:r>
      <w:r w:rsidR="00F11838" w:rsidRPr="00F11838">
        <w:rPr>
          <w:rFonts w:ascii="Cambria" w:hAnsi="Cambria" w:cstheme="minorHAnsi"/>
        </w:rPr>
        <w:t>o sporządzenie uzasadnienia wyroku w Sądzie Rejonowym w Mińsku Mazowieckim.</w:t>
      </w:r>
      <w:r w:rsidR="008133C9">
        <w:rPr>
          <w:rFonts w:ascii="Cambria" w:hAnsi="Cambria" w:cstheme="minorHAnsi"/>
        </w:rPr>
        <w:t xml:space="preserve"> </w:t>
      </w:r>
      <w:r w:rsidR="00F11838" w:rsidRPr="00F11838">
        <w:rPr>
          <w:rFonts w:ascii="Cambria" w:hAnsi="Cambria" w:cstheme="minorHAnsi"/>
        </w:rPr>
        <w:t>Oskarżony stawił się na posiedzenie, na którym Sąd rozpoznawał wniosek, był także przy ogłoszeniu postanowienia.</w:t>
      </w:r>
    </w:p>
    <w:p w:rsidR="00F11838" w:rsidRPr="00F11838" w:rsidRDefault="00F11838" w:rsidP="00F11838">
      <w:pPr>
        <w:spacing w:after="0" w:line="220" w:lineRule="auto"/>
        <w:ind w:right="22" w:firstLine="712"/>
        <w:jc w:val="both"/>
        <w:rPr>
          <w:rFonts w:ascii="Cambria" w:hAnsi="Cambria" w:cstheme="minorHAnsi"/>
          <w:b/>
        </w:rPr>
      </w:pPr>
      <w:r w:rsidRPr="00F11838">
        <w:rPr>
          <w:rFonts w:ascii="Cambria" w:hAnsi="Cambria" w:cstheme="minorHAnsi"/>
          <w:b/>
        </w:rPr>
        <w:t>Proszę sporządzić projekt postanowienia wraz z uzasadnieniem w przedmiocie złożonego wniosku o przywrócenie terminu do złożenia wniosku o sporządzenie uzasadnienia wyroku, wraz z pouczeniem o możliwości i trybie złożenia ewentualnego odwołania od orzeczenia.</w:t>
      </w:r>
    </w:p>
    <w:p w:rsidR="004E7528" w:rsidRPr="00853E8C" w:rsidRDefault="004E7528" w:rsidP="009E05D0">
      <w:pPr>
        <w:pStyle w:val="Nagwek3"/>
        <w:jc w:val="both"/>
        <w:rPr>
          <w:b/>
          <w:color w:val="auto"/>
          <w:sz w:val="22"/>
          <w:szCs w:val="22"/>
        </w:rPr>
      </w:pPr>
    </w:p>
    <w:p w:rsidR="004E7528" w:rsidRPr="00853E8C" w:rsidRDefault="004E7528" w:rsidP="009E05D0">
      <w:pPr>
        <w:pStyle w:val="Nagwek3"/>
        <w:jc w:val="both"/>
        <w:rPr>
          <w:b/>
          <w:color w:val="auto"/>
          <w:sz w:val="22"/>
          <w:szCs w:val="22"/>
        </w:rPr>
      </w:pPr>
    </w:p>
    <w:p w:rsidR="004E7528" w:rsidRPr="00853E8C" w:rsidRDefault="004E7528" w:rsidP="009E05D0">
      <w:pPr>
        <w:pStyle w:val="Nagwek3"/>
        <w:jc w:val="both"/>
        <w:rPr>
          <w:b/>
          <w:color w:val="auto"/>
          <w:sz w:val="22"/>
          <w:szCs w:val="22"/>
        </w:rPr>
      </w:pPr>
    </w:p>
    <w:p w:rsidR="004E7528" w:rsidRPr="00853E8C" w:rsidRDefault="004E7528" w:rsidP="009E05D0">
      <w:pPr>
        <w:pStyle w:val="Nagwek3"/>
        <w:jc w:val="both"/>
        <w:rPr>
          <w:b/>
          <w:color w:val="auto"/>
          <w:sz w:val="22"/>
          <w:szCs w:val="22"/>
        </w:rPr>
      </w:pPr>
    </w:p>
    <w:p w:rsidR="004E7528" w:rsidRPr="00853E8C" w:rsidRDefault="004E7528" w:rsidP="009E05D0">
      <w:pPr>
        <w:pStyle w:val="Nagwek3"/>
        <w:jc w:val="both"/>
        <w:rPr>
          <w:b/>
          <w:color w:val="auto"/>
          <w:sz w:val="22"/>
          <w:szCs w:val="22"/>
        </w:rPr>
      </w:pPr>
    </w:p>
    <w:p w:rsidR="004E7528" w:rsidRPr="00853E8C" w:rsidRDefault="004E7528" w:rsidP="009E05D0">
      <w:pPr>
        <w:pStyle w:val="Nagwek3"/>
        <w:jc w:val="both"/>
        <w:rPr>
          <w:b/>
          <w:color w:val="auto"/>
          <w:sz w:val="22"/>
          <w:szCs w:val="22"/>
        </w:rPr>
      </w:pPr>
    </w:p>
    <w:p w:rsidR="004E7528" w:rsidRPr="00853E8C" w:rsidRDefault="004E7528" w:rsidP="009E05D0">
      <w:pPr>
        <w:pStyle w:val="Nagwek3"/>
        <w:jc w:val="both"/>
        <w:rPr>
          <w:b/>
          <w:color w:val="auto"/>
          <w:sz w:val="22"/>
          <w:szCs w:val="22"/>
        </w:rPr>
      </w:pPr>
    </w:p>
    <w:p w:rsidR="004E7528" w:rsidRPr="00853E8C" w:rsidRDefault="004E7528" w:rsidP="009E05D0">
      <w:pPr>
        <w:pStyle w:val="Nagwek3"/>
        <w:jc w:val="both"/>
        <w:rPr>
          <w:b/>
          <w:color w:val="auto"/>
          <w:sz w:val="22"/>
          <w:szCs w:val="22"/>
        </w:rPr>
      </w:pPr>
    </w:p>
    <w:p w:rsidR="004E7528" w:rsidRPr="00853E8C" w:rsidRDefault="004E7528" w:rsidP="009E05D0">
      <w:pPr>
        <w:pStyle w:val="Nagwek3"/>
        <w:jc w:val="both"/>
        <w:rPr>
          <w:b/>
          <w:color w:val="auto"/>
          <w:sz w:val="22"/>
          <w:szCs w:val="22"/>
        </w:rPr>
      </w:pPr>
    </w:p>
    <w:p w:rsidR="004E7528" w:rsidRPr="00853E8C" w:rsidRDefault="004E7528" w:rsidP="009E05D0">
      <w:pPr>
        <w:pStyle w:val="Nagwek3"/>
        <w:jc w:val="both"/>
        <w:rPr>
          <w:b/>
          <w:color w:val="auto"/>
          <w:sz w:val="22"/>
          <w:szCs w:val="22"/>
        </w:rPr>
      </w:pPr>
    </w:p>
    <w:p w:rsidR="004E7528" w:rsidRPr="00853E8C" w:rsidRDefault="004E7528" w:rsidP="009E05D0">
      <w:pPr>
        <w:pStyle w:val="Nagwek3"/>
        <w:jc w:val="both"/>
        <w:rPr>
          <w:b/>
          <w:color w:val="auto"/>
          <w:sz w:val="22"/>
          <w:szCs w:val="22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A81066" w:rsidRPr="00FB36D6" w:rsidRDefault="00A81066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8508E3" w:rsidRPr="00FB36D6" w:rsidRDefault="008508E3" w:rsidP="009E05D0">
      <w:pPr>
        <w:pStyle w:val="Nagwek3"/>
        <w:jc w:val="center"/>
        <w:rPr>
          <w:rFonts w:ascii="Cambria" w:hAnsi="Cambria"/>
          <w:b/>
          <w:color w:val="auto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870239" w:rsidRPr="00FB36D6" w:rsidRDefault="00870239" w:rsidP="009E05D0">
      <w:pPr>
        <w:jc w:val="both"/>
        <w:rPr>
          <w:rFonts w:ascii="Cambria" w:hAnsi="Cambria"/>
          <w:sz w:val="24"/>
          <w:szCs w:val="24"/>
        </w:rPr>
      </w:pPr>
    </w:p>
    <w:p w:rsidR="00870239" w:rsidRPr="00FB36D6" w:rsidRDefault="00870239" w:rsidP="009E05D0">
      <w:pPr>
        <w:jc w:val="both"/>
        <w:rPr>
          <w:rFonts w:ascii="Cambria" w:hAnsi="Cambria"/>
          <w:sz w:val="24"/>
          <w:szCs w:val="24"/>
        </w:rPr>
      </w:pPr>
    </w:p>
    <w:sectPr w:rsidR="00870239" w:rsidRPr="00FB36D6" w:rsidSect="008133C9">
      <w:footerReference w:type="default" r:id="rId8"/>
      <w:pgSz w:w="11906" w:h="16838"/>
      <w:pgMar w:top="567" w:right="1133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7F24" w:rsidRDefault="00C27F24" w:rsidP="00C27F24">
      <w:pPr>
        <w:spacing w:after="0" w:line="240" w:lineRule="auto"/>
      </w:pPr>
      <w:r>
        <w:separator/>
      </w:r>
    </w:p>
  </w:endnote>
  <w:endnote w:type="continuationSeparator" w:id="0">
    <w:p w:rsidR="00C27F24" w:rsidRDefault="00C27F24" w:rsidP="00C27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02978674"/>
      <w:docPartObj>
        <w:docPartGallery w:val="Page Numbers (Bottom of Page)"/>
        <w:docPartUnique/>
      </w:docPartObj>
    </w:sdtPr>
    <w:sdtEndPr/>
    <w:sdtContent>
      <w:p w:rsidR="00C27F24" w:rsidRDefault="00C27F2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CEA">
          <w:rPr>
            <w:noProof/>
          </w:rPr>
          <w:t>10</w:t>
        </w:r>
        <w:r>
          <w:fldChar w:fldCharType="end"/>
        </w:r>
      </w:p>
    </w:sdtContent>
  </w:sdt>
  <w:p w:rsidR="00C27F24" w:rsidRDefault="00C27F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7F24" w:rsidRDefault="00C27F24" w:rsidP="00C27F24">
      <w:pPr>
        <w:spacing w:after="0" w:line="240" w:lineRule="auto"/>
      </w:pPr>
      <w:r>
        <w:separator/>
      </w:r>
    </w:p>
  </w:footnote>
  <w:footnote w:type="continuationSeparator" w:id="0">
    <w:p w:rsidR="00C27F24" w:rsidRDefault="00C27F24" w:rsidP="00C27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C6ACF"/>
    <w:multiLevelType w:val="hybridMultilevel"/>
    <w:tmpl w:val="6564151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0C66E3"/>
    <w:multiLevelType w:val="hybridMultilevel"/>
    <w:tmpl w:val="C37AA94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356171"/>
    <w:multiLevelType w:val="hybridMultilevel"/>
    <w:tmpl w:val="FA44A8A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463599"/>
    <w:multiLevelType w:val="hybridMultilevel"/>
    <w:tmpl w:val="98E86A8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44751F"/>
    <w:multiLevelType w:val="hybridMultilevel"/>
    <w:tmpl w:val="E1147F5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635588"/>
    <w:multiLevelType w:val="hybridMultilevel"/>
    <w:tmpl w:val="0010A110"/>
    <w:lvl w:ilvl="0" w:tplc="71F8D132">
      <w:start w:val="1"/>
      <w:numFmt w:val="lowerLetter"/>
      <w:lvlText w:val="%1)"/>
      <w:lvlJc w:val="left"/>
      <w:pPr>
        <w:ind w:left="1068" w:hanging="36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4AA48E5"/>
    <w:multiLevelType w:val="hybridMultilevel"/>
    <w:tmpl w:val="CBFADAD6"/>
    <w:lvl w:ilvl="0" w:tplc="131EE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BEEDDC0">
      <w:start w:val="1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442B4E"/>
    <w:multiLevelType w:val="hybridMultilevel"/>
    <w:tmpl w:val="D72C582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591B0F"/>
    <w:multiLevelType w:val="hybridMultilevel"/>
    <w:tmpl w:val="1CEAAA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641A9D"/>
    <w:multiLevelType w:val="hybridMultilevel"/>
    <w:tmpl w:val="8CB0B46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37176BF"/>
    <w:multiLevelType w:val="hybridMultilevel"/>
    <w:tmpl w:val="7D0A6DE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68774BF"/>
    <w:multiLevelType w:val="hybridMultilevel"/>
    <w:tmpl w:val="30101F1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D417F96"/>
    <w:multiLevelType w:val="hybridMultilevel"/>
    <w:tmpl w:val="DFCADA4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45D4921"/>
    <w:multiLevelType w:val="hybridMultilevel"/>
    <w:tmpl w:val="1194CA6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F480DDB"/>
    <w:multiLevelType w:val="hybridMultilevel"/>
    <w:tmpl w:val="595A303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5DF6554"/>
    <w:multiLevelType w:val="hybridMultilevel"/>
    <w:tmpl w:val="3EF0CAF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0A4A90"/>
    <w:multiLevelType w:val="hybridMultilevel"/>
    <w:tmpl w:val="4142F46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2B2CC7"/>
    <w:multiLevelType w:val="hybridMultilevel"/>
    <w:tmpl w:val="F4109158"/>
    <w:lvl w:ilvl="0" w:tplc="8A902F9C">
      <w:start w:val="20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F37AE4"/>
    <w:multiLevelType w:val="hybridMultilevel"/>
    <w:tmpl w:val="E7E84C9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8"/>
  </w:num>
  <w:num w:numId="15">
    <w:abstractNumId w:val="7"/>
  </w:num>
  <w:num w:numId="16">
    <w:abstractNumId w:val="0"/>
  </w:num>
  <w:num w:numId="17">
    <w:abstractNumId w:val="17"/>
  </w:num>
  <w:num w:numId="18">
    <w:abstractNumId w:val="14"/>
  </w:num>
  <w:num w:numId="19">
    <w:abstractNumId w:val="12"/>
  </w:num>
  <w:num w:numId="20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3F0"/>
    <w:rsid w:val="00005566"/>
    <w:rsid w:val="00012166"/>
    <w:rsid w:val="00013717"/>
    <w:rsid w:val="000154BD"/>
    <w:rsid w:val="00034E8A"/>
    <w:rsid w:val="00037202"/>
    <w:rsid w:val="00052FD6"/>
    <w:rsid w:val="0006517B"/>
    <w:rsid w:val="00065A5D"/>
    <w:rsid w:val="0007303B"/>
    <w:rsid w:val="00075E64"/>
    <w:rsid w:val="000838CE"/>
    <w:rsid w:val="000902A2"/>
    <w:rsid w:val="000943FE"/>
    <w:rsid w:val="00095288"/>
    <w:rsid w:val="000A1606"/>
    <w:rsid w:val="000B1E0E"/>
    <w:rsid w:val="000E12BC"/>
    <w:rsid w:val="000E66FC"/>
    <w:rsid w:val="000E72D0"/>
    <w:rsid w:val="000E75FE"/>
    <w:rsid w:val="000F0D12"/>
    <w:rsid w:val="000F1756"/>
    <w:rsid w:val="00100A50"/>
    <w:rsid w:val="00100B45"/>
    <w:rsid w:val="00107A2F"/>
    <w:rsid w:val="0011005B"/>
    <w:rsid w:val="00110E77"/>
    <w:rsid w:val="00112B79"/>
    <w:rsid w:val="00122498"/>
    <w:rsid w:val="0012481E"/>
    <w:rsid w:val="001304E7"/>
    <w:rsid w:val="001339A7"/>
    <w:rsid w:val="00140410"/>
    <w:rsid w:val="00155737"/>
    <w:rsid w:val="001564C1"/>
    <w:rsid w:val="0015750F"/>
    <w:rsid w:val="00167055"/>
    <w:rsid w:val="001673F0"/>
    <w:rsid w:val="001730A9"/>
    <w:rsid w:val="00173815"/>
    <w:rsid w:val="0019436B"/>
    <w:rsid w:val="00194F88"/>
    <w:rsid w:val="00196B31"/>
    <w:rsid w:val="001B05C9"/>
    <w:rsid w:val="001B2511"/>
    <w:rsid w:val="001B3650"/>
    <w:rsid w:val="001C6C2A"/>
    <w:rsid w:val="001D45A2"/>
    <w:rsid w:val="001D4784"/>
    <w:rsid w:val="001E355D"/>
    <w:rsid w:val="001E6870"/>
    <w:rsid w:val="001F1D37"/>
    <w:rsid w:val="001F61EC"/>
    <w:rsid w:val="001F7FBE"/>
    <w:rsid w:val="002103E3"/>
    <w:rsid w:val="002121FB"/>
    <w:rsid w:val="00220B78"/>
    <w:rsid w:val="002538A4"/>
    <w:rsid w:val="002562A8"/>
    <w:rsid w:val="00266F80"/>
    <w:rsid w:val="00280D3B"/>
    <w:rsid w:val="002855E6"/>
    <w:rsid w:val="00287374"/>
    <w:rsid w:val="002A22E6"/>
    <w:rsid w:val="002A7F39"/>
    <w:rsid w:val="002B4FF2"/>
    <w:rsid w:val="002C2DCB"/>
    <w:rsid w:val="002C42EF"/>
    <w:rsid w:val="002C683B"/>
    <w:rsid w:val="002C733E"/>
    <w:rsid w:val="002C76E0"/>
    <w:rsid w:val="002D6BE7"/>
    <w:rsid w:val="002D6F65"/>
    <w:rsid w:val="002E0961"/>
    <w:rsid w:val="002E268C"/>
    <w:rsid w:val="002E2E74"/>
    <w:rsid w:val="002E3375"/>
    <w:rsid w:val="002E6234"/>
    <w:rsid w:val="00327A5B"/>
    <w:rsid w:val="003324C7"/>
    <w:rsid w:val="0033422D"/>
    <w:rsid w:val="00335706"/>
    <w:rsid w:val="00343EFB"/>
    <w:rsid w:val="00346E18"/>
    <w:rsid w:val="0035214A"/>
    <w:rsid w:val="00352370"/>
    <w:rsid w:val="00370AF7"/>
    <w:rsid w:val="00371E34"/>
    <w:rsid w:val="00374BB8"/>
    <w:rsid w:val="0037770F"/>
    <w:rsid w:val="0037799F"/>
    <w:rsid w:val="00381F19"/>
    <w:rsid w:val="00382972"/>
    <w:rsid w:val="00387CF7"/>
    <w:rsid w:val="003968FB"/>
    <w:rsid w:val="003A56B4"/>
    <w:rsid w:val="003B3E59"/>
    <w:rsid w:val="003C641B"/>
    <w:rsid w:val="003D15AD"/>
    <w:rsid w:val="003D3295"/>
    <w:rsid w:val="003E546B"/>
    <w:rsid w:val="003F4E2B"/>
    <w:rsid w:val="003F783F"/>
    <w:rsid w:val="00405654"/>
    <w:rsid w:val="004112EA"/>
    <w:rsid w:val="00412F99"/>
    <w:rsid w:val="00417EC3"/>
    <w:rsid w:val="0044116F"/>
    <w:rsid w:val="004472D4"/>
    <w:rsid w:val="0045186B"/>
    <w:rsid w:val="00474294"/>
    <w:rsid w:val="00474CAF"/>
    <w:rsid w:val="004909A9"/>
    <w:rsid w:val="004A3215"/>
    <w:rsid w:val="004A5075"/>
    <w:rsid w:val="004A6CEA"/>
    <w:rsid w:val="004C5AEB"/>
    <w:rsid w:val="004D4381"/>
    <w:rsid w:val="004D4903"/>
    <w:rsid w:val="004D70B1"/>
    <w:rsid w:val="004E5F0A"/>
    <w:rsid w:val="004E6A3D"/>
    <w:rsid w:val="004E7528"/>
    <w:rsid w:val="004F32A9"/>
    <w:rsid w:val="004F3C38"/>
    <w:rsid w:val="00510612"/>
    <w:rsid w:val="0051422C"/>
    <w:rsid w:val="00524123"/>
    <w:rsid w:val="0052736C"/>
    <w:rsid w:val="0053061E"/>
    <w:rsid w:val="00536EE3"/>
    <w:rsid w:val="005501DE"/>
    <w:rsid w:val="00552586"/>
    <w:rsid w:val="00552DE0"/>
    <w:rsid w:val="00554957"/>
    <w:rsid w:val="00560DD3"/>
    <w:rsid w:val="00562326"/>
    <w:rsid w:val="005703C9"/>
    <w:rsid w:val="00580011"/>
    <w:rsid w:val="00584FE5"/>
    <w:rsid w:val="00587A60"/>
    <w:rsid w:val="005B0B04"/>
    <w:rsid w:val="005B4EE4"/>
    <w:rsid w:val="005C15AD"/>
    <w:rsid w:val="005D435D"/>
    <w:rsid w:val="005D6371"/>
    <w:rsid w:val="005E1015"/>
    <w:rsid w:val="005F5A1E"/>
    <w:rsid w:val="005F5FEF"/>
    <w:rsid w:val="006027D4"/>
    <w:rsid w:val="00610E72"/>
    <w:rsid w:val="00611DE0"/>
    <w:rsid w:val="00617A60"/>
    <w:rsid w:val="00637B20"/>
    <w:rsid w:val="00650C6F"/>
    <w:rsid w:val="006601B0"/>
    <w:rsid w:val="00662300"/>
    <w:rsid w:val="0066251E"/>
    <w:rsid w:val="006A578B"/>
    <w:rsid w:val="006B20FD"/>
    <w:rsid w:val="006D5BFA"/>
    <w:rsid w:val="006D7735"/>
    <w:rsid w:val="006E3141"/>
    <w:rsid w:val="006E4EE3"/>
    <w:rsid w:val="006F1A7D"/>
    <w:rsid w:val="006F745D"/>
    <w:rsid w:val="00715FAC"/>
    <w:rsid w:val="0072664C"/>
    <w:rsid w:val="007340D7"/>
    <w:rsid w:val="00735CC2"/>
    <w:rsid w:val="007367DE"/>
    <w:rsid w:val="00744FEA"/>
    <w:rsid w:val="0075682A"/>
    <w:rsid w:val="007606AD"/>
    <w:rsid w:val="007627BB"/>
    <w:rsid w:val="007658BD"/>
    <w:rsid w:val="00767FC7"/>
    <w:rsid w:val="007A32DB"/>
    <w:rsid w:val="007A5F97"/>
    <w:rsid w:val="007B675A"/>
    <w:rsid w:val="007E1DB0"/>
    <w:rsid w:val="00807B75"/>
    <w:rsid w:val="008112A9"/>
    <w:rsid w:val="008133C9"/>
    <w:rsid w:val="008228A4"/>
    <w:rsid w:val="00827C7E"/>
    <w:rsid w:val="008508E3"/>
    <w:rsid w:val="00850C8C"/>
    <w:rsid w:val="00853E8C"/>
    <w:rsid w:val="00861A89"/>
    <w:rsid w:val="00870239"/>
    <w:rsid w:val="008736FF"/>
    <w:rsid w:val="00881408"/>
    <w:rsid w:val="00882902"/>
    <w:rsid w:val="008875C3"/>
    <w:rsid w:val="00890E7C"/>
    <w:rsid w:val="008A3B2D"/>
    <w:rsid w:val="008A3CB9"/>
    <w:rsid w:val="008A557F"/>
    <w:rsid w:val="008B6DEC"/>
    <w:rsid w:val="008C41CD"/>
    <w:rsid w:val="008D3473"/>
    <w:rsid w:val="008E0752"/>
    <w:rsid w:val="008F46F0"/>
    <w:rsid w:val="008F6385"/>
    <w:rsid w:val="009125B5"/>
    <w:rsid w:val="00916B56"/>
    <w:rsid w:val="00921893"/>
    <w:rsid w:val="009237B7"/>
    <w:rsid w:val="00941803"/>
    <w:rsid w:val="009520A0"/>
    <w:rsid w:val="009617F1"/>
    <w:rsid w:val="009668FE"/>
    <w:rsid w:val="00971300"/>
    <w:rsid w:val="009747B7"/>
    <w:rsid w:val="009874D9"/>
    <w:rsid w:val="00990F4A"/>
    <w:rsid w:val="00991038"/>
    <w:rsid w:val="009976D6"/>
    <w:rsid w:val="009B2690"/>
    <w:rsid w:val="009B53A9"/>
    <w:rsid w:val="009C2EE3"/>
    <w:rsid w:val="009E05D0"/>
    <w:rsid w:val="009E0DD0"/>
    <w:rsid w:val="009F2787"/>
    <w:rsid w:val="009F457E"/>
    <w:rsid w:val="00A15184"/>
    <w:rsid w:val="00A27044"/>
    <w:rsid w:val="00A34426"/>
    <w:rsid w:val="00A363B3"/>
    <w:rsid w:val="00A36953"/>
    <w:rsid w:val="00A371A6"/>
    <w:rsid w:val="00A44B90"/>
    <w:rsid w:val="00A45E52"/>
    <w:rsid w:val="00A61004"/>
    <w:rsid w:val="00A63453"/>
    <w:rsid w:val="00A675CC"/>
    <w:rsid w:val="00A67A49"/>
    <w:rsid w:val="00A73697"/>
    <w:rsid w:val="00A751C2"/>
    <w:rsid w:val="00A81066"/>
    <w:rsid w:val="00A8626A"/>
    <w:rsid w:val="00A86D09"/>
    <w:rsid w:val="00A91EF1"/>
    <w:rsid w:val="00A97107"/>
    <w:rsid w:val="00A978D3"/>
    <w:rsid w:val="00AA3850"/>
    <w:rsid w:val="00AB22A5"/>
    <w:rsid w:val="00AC7085"/>
    <w:rsid w:val="00AC7E31"/>
    <w:rsid w:val="00AF1E4E"/>
    <w:rsid w:val="00AF6EE0"/>
    <w:rsid w:val="00B12362"/>
    <w:rsid w:val="00B2184E"/>
    <w:rsid w:val="00B21BAD"/>
    <w:rsid w:val="00B231E8"/>
    <w:rsid w:val="00B2408B"/>
    <w:rsid w:val="00B2511C"/>
    <w:rsid w:val="00B255DB"/>
    <w:rsid w:val="00B42953"/>
    <w:rsid w:val="00B4545A"/>
    <w:rsid w:val="00B46F1A"/>
    <w:rsid w:val="00B63763"/>
    <w:rsid w:val="00B7055B"/>
    <w:rsid w:val="00B72830"/>
    <w:rsid w:val="00B91F94"/>
    <w:rsid w:val="00B94045"/>
    <w:rsid w:val="00B96744"/>
    <w:rsid w:val="00BA4A54"/>
    <w:rsid w:val="00BA6AE6"/>
    <w:rsid w:val="00BB1C3A"/>
    <w:rsid w:val="00BB7ABC"/>
    <w:rsid w:val="00BD1A91"/>
    <w:rsid w:val="00BD70AB"/>
    <w:rsid w:val="00BE02C3"/>
    <w:rsid w:val="00BE1125"/>
    <w:rsid w:val="00BE655C"/>
    <w:rsid w:val="00BF4765"/>
    <w:rsid w:val="00BF5CF6"/>
    <w:rsid w:val="00BF6F8D"/>
    <w:rsid w:val="00C0130B"/>
    <w:rsid w:val="00C0525A"/>
    <w:rsid w:val="00C10FC9"/>
    <w:rsid w:val="00C1522C"/>
    <w:rsid w:val="00C24D21"/>
    <w:rsid w:val="00C27F24"/>
    <w:rsid w:val="00C37093"/>
    <w:rsid w:val="00C371A9"/>
    <w:rsid w:val="00C40D8B"/>
    <w:rsid w:val="00C442F6"/>
    <w:rsid w:val="00C513DD"/>
    <w:rsid w:val="00C848D6"/>
    <w:rsid w:val="00C87FEF"/>
    <w:rsid w:val="00C9028E"/>
    <w:rsid w:val="00C925E1"/>
    <w:rsid w:val="00CB0FE3"/>
    <w:rsid w:val="00CB5077"/>
    <w:rsid w:val="00CB56AB"/>
    <w:rsid w:val="00CD0062"/>
    <w:rsid w:val="00CD2897"/>
    <w:rsid w:val="00CE6769"/>
    <w:rsid w:val="00CF341D"/>
    <w:rsid w:val="00CF4E84"/>
    <w:rsid w:val="00D178AC"/>
    <w:rsid w:val="00D22D06"/>
    <w:rsid w:val="00D263E3"/>
    <w:rsid w:val="00D422DF"/>
    <w:rsid w:val="00D50AE2"/>
    <w:rsid w:val="00D546B5"/>
    <w:rsid w:val="00D55E5C"/>
    <w:rsid w:val="00D572F6"/>
    <w:rsid w:val="00D85ECE"/>
    <w:rsid w:val="00DA28C9"/>
    <w:rsid w:val="00DA2C2B"/>
    <w:rsid w:val="00DA5EF6"/>
    <w:rsid w:val="00DA7FF9"/>
    <w:rsid w:val="00DB1059"/>
    <w:rsid w:val="00DC0B53"/>
    <w:rsid w:val="00DC3E21"/>
    <w:rsid w:val="00DC4299"/>
    <w:rsid w:val="00DC4DFD"/>
    <w:rsid w:val="00DC51C6"/>
    <w:rsid w:val="00DD2126"/>
    <w:rsid w:val="00DD6C6C"/>
    <w:rsid w:val="00DE7BCD"/>
    <w:rsid w:val="00DF5C9D"/>
    <w:rsid w:val="00E008E4"/>
    <w:rsid w:val="00E33CC3"/>
    <w:rsid w:val="00E43328"/>
    <w:rsid w:val="00E52296"/>
    <w:rsid w:val="00E6554F"/>
    <w:rsid w:val="00E705F6"/>
    <w:rsid w:val="00E72BA2"/>
    <w:rsid w:val="00E7467C"/>
    <w:rsid w:val="00E80458"/>
    <w:rsid w:val="00E859C0"/>
    <w:rsid w:val="00E9091F"/>
    <w:rsid w:val="00E961AA"/>
    <w:rsid w:val="00EC4EBA"/>
    <w:rsid w:val="00EC5608"/>
    <w:rsid w:val="00ED55D5"/>
    <w:rsid w:val="00EE3E0D"/>
    <w:rsid w:val="00EE506A"/>
    <w:rsid w:val="00F001B2"/>
    <w:rsid w:val="00F11838"/>
    <w:rsid w:val="00F13DA9"/>
    <w:rsid w:val="00F26EE0"/>
    <w:rsid w:val="00F36DBB"/>
    <w:rsid w:val="00F37F60"/>
    <w:rsid w:val="00F46649"/>
    <w:rsid w:val="00F56A24"/>
    <w:rsid w:val="00F56ADC"/>
    <w:rsid w:val="00F577ED"/>
    <w:rsid w:val="00F74288"/>
    <w:rsid w:val="00F84FB0"/>
    <w:rsid w:val="00F84FBF"/>
    <w:rsid w:val="00F90089"/>
    <w:rsid w:val="00F90D74"/>
    <w:rsid w:val="00FA26C0"/>
    <w:rsid w:val="00FA5C88"/>
    <w:rsid w:val="00FB36D6"/>
    <w:rsid w:val="00FC1C41"/>
    <w:rsid w:val="00FC2F55"/>
    <w:rsid w:val="00FC4E90"/>
    <w:rsid w:val="00FD518C"/>
    <w:rsid w:val="00FE4F26"/>
    <w:rsid w:val="00FE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,"/>
  <w:listSeparator w:val=";"/>
  <w14:docId w14:val="50A957B8"/>
  <w15:docId w15:val="{108BD694-78D8-44E7-A8FA-5EDBD2E5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0A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0A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0A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70A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673F0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7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73F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467C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rsid w:val="004909A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909A9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C27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F24"/>
  </w:style>
  <w:style w:type="paragraph" w:styleId="Stopka">
    <w:name w:val="footer"/>
    <w:basedOn w:val="Normalny"/>
    <w:link w:val="StopkaZnak"/>
    <w:uiPriority w:val="99"/>
    <w:unhideWhenUsed/>
    <w:rsid w:val="00C27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F24"/>
  </w:style>
  <w:style w:type="paragraph" w:customStyle="1" w:styleId="Styl">
    <w:name w:val="Styl"/>
    <w:rsid w:val="005703C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rsid w:val="00B42953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B4295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42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70A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70AF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0A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70A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Lista">
    <w:name w:val="List"/>
    <w:basedOn w:val="Normalny"/>
    <w:uiPriority w:val="99"/>
    <w:unhideWhenUsed/>
    <w:rsid w:val="00370AF7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370AF7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370AF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70AF7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70AF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70AF7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70AF7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70AF7"/>
  </w:style>
  <w:style w:type="character" w:customStyle="1" w:styleId="alb">
    <w:name w:val="a_lb"/>
    <w:rsid w:val="00B4545A"/>
  </w:style>
  <w:style w:type="character" w:styleId="Pogrubienie">
    <w:name w:val="Strong"/>
    <w:basedOn w:val="Domylnaczcionkaakapitu"/>
    <w:uiPriority w:val="22"/>
    <w:qFormat/>
    <w:rsid w:val="00B4545A"/>
    <w:rPr>
      <w:b/>
      <w:bCs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9747B7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974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301D7-AC62-4DD2-87B6-3C75D7353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10</Pages>
  <Words>1946</Words>
  <Characters>11676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Okręgowy w Siedlcach</Company>
  <LinksUpToDate>false</LinksUpToDate>
  <CharactersWithSpaces>13595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.............</dc:creator>
  <cp:lastModifiedBy>Sosnowska Marzena</cp:lastModifiedBy>
  <cp:revision>39</cp:revision>
  <cp:lastPrinted>2024-09-10T11:41:00Z</cp:lastPrinted>
  <dcterms:created xsi:type="dcterms:W3CDTF">2024-09-09T12:48:00Z</dcterms:created>
  <dcterms:modified xsi:type="dcterms:W3CDTF">2024-09-10T11:53:00Z</dcterms:modified>
</cp:coreProperties>
</file>