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F70DA" w14:textId="77777777" w:rsidR="00DE7616" w:rsidRPr="00DE7616" w:rsidRDefault="00DE7616" w:rsidP="00DE7616">
      <w:pPr>
        <w:pStyle w:val="Style1"/>
        <w:widowControl/>
        <w:rPr>
          <w:rStyle w:val="FontStyle11"/>
          <w:rFonts w:ascii="Palatino Linotype" w:hAnsi="Palatino Linotype"/>
          <w:sz w:val="24"/>
          <w:szCs w:val="24"/>
        </w:rPr>
      </w:pPr>
      <w:r w:rsidRPr="00DE7616">
        <w:rPr>
          <w:rStyle w:val="FontStyle11"/>
          <w:rFonts w:ascii="Palatino Linotype" w:hAnsi="Palatino Linotype"/>
          <w:sz w:val="24"/>
          <w:szCs w:val="24"/>
        </w:rPr>
        <w:t xml:space="preserve">KONKURS NA STANOWISKO ASYSTENTA SĘDZIEGO </w:t>
      </w:r>
    </w:p>
    <w:p w14:paraId="6A691231" w14:textId="77777777" w:rsidR="00DE7616" w:rsidRPr="00DE7616" w:rsidRDefault="00DE7616" w:rsidP="00DE7616">
      <w:pPr>
        <w:pStyle w:val="Style1"/>
        <w:widowControl/>
        <w:rPr>
          <w:rStyle w:val="FontStyle11"/>
          <w:rFonts w:ascii="Palatino Linotype" w:hAnsi="Palatino Linotype"/>
          <w:sz w:val="24"/>
          <w:szCs w:val="24"/>
        </w:rPr>
      </w:pPr>
      <w:r w:rsidRPr="00DE7616">
        <w:rPr>
          <w:rStyle w:val="FontStyle11"/>
          <w:rFonts w:ascii="Palatino Linotype" w:hAnsi="Palatino Linotype"/>
          <w:sz w:val="24"/>
          <w:szCs w:val="24"/>
        </w:rPr>
        <w:t xml:space="preserve">W SĄDZIE REJONOWYM W SZYDŁOWCU </w:t>
      </w:r>
    </w:p>
    <w:p w14:paraId="5BEBC814" w14:textId="77777777" w:rsidR="00DE7616" w:rsidRPr="00DE7616" w:rsidRDefault="00DE7616" w:rsidP="00DE7616">
      <w:pPr>
        <w:pStyle w:val="Style1"/>
        <w:widowControl/>
        <w:rPr>
          <w:rStyle w:val="FontStyle11"/>
          <w:rFonts w:ascii="Palatino Linotype" w:hAnsi="Palatino Linotype"/>
          <w:sz w:val="24"/>
          <w:szCs w:val="24"/>
        </w:rPr>
      </w:pPr>
      <w:r w:rsidRPr="00DE7616">
        <w:rPr>
          <w:rStyle w:val="FontStyle11"/>
          <w:rFonts w:ascii="Palatino Linotype" w:hAnsi="Palatino Linotype"/>
          <w:sz w:val="24"/>
          <w:szCs w:val="24"/>
        </w:rPr>
        <w:t>Drugi etap</w:t>
      </w:r>
    </w:p>
    <w:p w14:paraId="7F677EC7" w14:textId="77777777" w:rsidR="00DE7616" w:rsidRPr="00DE7616" w:rsidRDefault="00DE7616" w:rsidP="00DE7616">
      <w:pPr>
        <w:pStyle w:val="Style2"/>
        <w:widowControl/>
        <w:spacing w:line="240" w:lineRule="exact"/>
        <w:ind w:right="10"/>
        <w:jc w:val="center"/>
        <w:rPr>
          <w:rFonts w:ascii="Palatino Linotype" w:hAnsi="Palatino Linotype"/>
        </w:rPr>
      </w:pPr>
    </w:p>
    <w:p w14:paraId="40779E7D" w14:textId="77777777" w:rsidR="00DE7616" w:rsidRPr="00DE7616" w:rsidRDefault="00DE7616" w:rsidP="00DE7616">
      <w:pPr>
        <w:pStyle w:val="Style2"/>
        <w:widowControl/>
        <w:spacing w:before="125"/>
        <w:ind w:right="10"/>
        <w:jc w:val="center"/>
        <w:rPr>
          <w:rStyle w:val="FontStyle12"/>
          <w:rFonts w:ascii="Palatino Linotype" w:hAnsi="Palatino Linotype"/>
          <w:sz w:val="24"/>
          <w:szCs w:val="24"/>
        </w:rPr>
      </w:pPr>
      <w:r w:rsidRPr="00DE7616">
        <w:rPr>
          <w:rStyle w:val="FontStyle12"/>
          <w:rFonts w:ascii="Palatino Linotype" w:hAnsi="Palatino Linotype"/>
          <w:sz w:val="24"/>
          <w:szCs w:val="24"/>
        </w:rPr>
        <w:t>1</w:t>
      </w:r>
      <w:r w:rsidR="00AB168B">
        <w:rPr>
          <w:rStyle w:val="FontStyle12"/>
          <w:rFonts w:ascii="Palatino Linotype" w:hAnsi="Palatino Linotype"/>
          <w:sz w:val="24"/>
          <w:szCs w:val="24"/>
        </w:rPr>
        <w:t>7</w:t>
      </w:r>
      <w:r w:rsidRPr="00DE7616">
        <w:rPr>
          <w:rStyle w:val="FontStyle12"/>
          <w:rFonts w:ascii="Palatino Linotype" w:hAnsi="Palatino Linotype"/>
          <w:sz w:val="24"/>
          <w:szCs w:val="24"/>
        </w:rPr>
        <w:t xml:space="preserve"> MARCA 2025r.</w:t>
      </w:r>
    </w:p>
    <w:p w14:paraId="4808078A" w14:textId="77777777" w:rsidR="00DE7616" w:rsidRPr="00DE7616" w:rsidRDefault="00DE7616" w:rsidP="00DE7616">
      <w:pPr>
        <w:pStyle w:val="Style2"/>
        <w:widowControl/>
        <w:spacing w:before="125"/>
        <w:ind w:right="10"/>
        <w:jc w:val="center"/>
        <w:rPr>
          <w:rStyle w:val="FontStyle12"/>
          <w:rFonts w:ascii="Palatino Linotype" w:hAnsi="Palatino Linotype"/>
          <w:sz w:val="24"/>
          <w:szCs w:val="24"/>
        </w:rPr>
      </w:pPr>
    </w:p>
    <w:p w14:paraId="771602B6" w14:textId="77777777" w:rsidR="00DE7616" w:rsidRPr="00DE7616" w:rsidRDefault="00DE7616" w:rsidP="00DE7616">
      <w:pPr>
        <w:pStyle w:val="Style2"/>
        <w:widowControl/>
        <w:spacing w:before="125"/>
        <w:ind w:right="10"/>
        <w:jc w:val="center"/>
        <w:rPr>
          <w:rStyle w:val="FontStyle12"/>
          <w:rFonts w:ascii="Palatino Linotype" w:hAnsi="Palatino Linotype"/>
          <w:sz w:val="24"/>
          <w:szCs w:val="24"/>
        </w:rPr>
      </w:pPr>
      <w:r w:rsidRPr="00DE7616">
        <w:rPr>
          <w:rStyle w:val="FontStyle12"/>
          <w:rFonts w:ascii="Palatino Linotype" w:hAnsi="Palatino Linotype"/>
          <w:sz w:val="24"/>
          <w:szCs w:val="24"/>
        </w:rPr>
        <w:t>……………………………………………………………………………………….</w:t>
      </w:r>
    </w:p>
    <w:p w14:paraId="2272E832" w14:textId="77777777" w:rsidR="00DE7616" w:rsidRPr="00DE7616" w:rsidRDefault="00DE7616" w:rsidP="00DE7616">
      <w:pPr>
        <w:pStyle w:val="Style2"/>
        <w:widowControl/>
        <w:spacing w:before="125"/>
        <w:ind w:right="10"/>
        <w:jc w:val="center"/>
        <w:rPr>
          <w:rStyle w:val="FontStyle13"/>
          <w:rFonts w:ascii="Palatino Linotype" w:hAnsi="Palatino Linotype"/>
        </w:rPr>
      </w:pPr>
      <w:r w:rsidRPr="00DE7616">
        <w:rPr>
          <w:rStyle w:val="FontStyle12"/>
          <w:rFonts w:ascii="Palatino Linotype" w:hAnsi="Palatino Linotype"/>
          <w:sz w:val="24"/>
          <w:szCs w:val="24"/>
        </w:rPr>
        <w:t>imię i nazwisko kandydata</w:t>
      </w:r>
    </w:p>
    <w:p w14:paraId="2D42852E" w14:textId="77777777" w:rsidR="004C3F6B" w:rsidRPr="00DE7616" w:rsidRDefault="004C3F6B">
      <w:pPr>
        <w:rPr>
          <w:rFonts w:ascii="Palatino Linotype" w:hAnsi="Palatino Linotype"/>
          <w:sz w:val="24"/>
          <w:szCs w:val="24"/>
        </w:rPr>
      </w:pPr>
    </w:p>
    <w:p w14:paraId="6BFC0655" w14:textId="77777777" w:rsidR="00DE7616" w:rsidRPr="00DE7616" w:rsidRDefault="00DE7616" w:rsidP="00DE7616">
      <w:pPr>
        <w:pStyle w:val="Style6"/>
        <w:widowControl/>
        <w:spacing w:before="134" w:line="240" w:lineRule="auto"/>
        <w:rPr>
          <w:rStyle w:val="FontStyle13"/>
          <w:rFonts w:ascii="Palatino Linotype" w:hAnsi="Palatino Linotype"/>
          <w:u w:val="single"/>
        </w:rPr>
      </w:pPr>
      <w:r w:rsidRPr="00DE7616">
        <w:rPr>
          <w:rStyle w:val="FontStyle13"/>
          <w:rFonts w:ascii="Palatino Linotype" w:hAnsi="Palatino Linotype"/>
          <w:u w:val="single"/>
        </w:rPr>
        <w:t>Pouczenie:</w:t>
      </w:r>
    </w:p>
    <w:p w14:paraId="3E8BD5CD" w14:textId="77777777" w:rsidR="00DE7616" w:rsidRPr="00DE7616" w:rsidRDefault="00DE7616" w:rsidP="00DE7616">
      <w:pPr>
        <w:pStyle w:val="Style5"/>
        <w:widowControl/>
        <w:numPr>
          <w:ilvl w:val="0"/>
          <w:numId w:val="1"/>
        </w:numPr>
        <w:tabs>
          <w:tab w:val="left" w:pos="197"/>
        </w:tabs>
        <w:spacing w:before="408"/>
        <w:ind w:right="38"/>
        <w:rPr>
          <w:rStyle w:val="FontStyle13"/>
          <w:rFonts w:ascii="Palatino Linotype" w:hAnsi="Palatino Linotype"/>
        </w:rPr>
      </w:pPr>
      <w:r w:rsidRPr="00DE7616">
        <w:rPr>
          <w:rStyle w:val="FontStyle13"/>
          <w:rFonts w:ascii="Palatino Linotype" w:hAnsi="Palatino Linotype"/>
        </w:rPr>
        <w:t>Każdy kandydat otrzymuje zastaw pytań testowych oraz dwa tematy pracy pisemnej.</w:t>
      </w:r>
    </w:p>
    <w:p w14:paraId="1595FB1B" w14:textId="77777777" w:rsidR="00DE7616" w:rsidRPr="00DE7616" w:rsidRDefault="00DE7616" w:rsidP="00DE7616">
      <w:pPr>
        <w:pStyle w:val="Style5"/>
        <w:widowControl/>
        <w:numPr>
          <w:ilvl w:val="0"/>
          <w:numId w:val="1"/>
        </w:numPr>
        <w:tabs>
          <w:tab w:val="left" w:pos="197"/>
        </w:tabs>
        <w:spacing w:before="355" w:line="350" w:lineRule="exact"/>
        <w:ind w:right="29"/>
        <w:rPr>
          <w:rStyle w:val="FontStyle13"/>
          <w:rFonts w:ascii="Palatino Linotype" w:hAnsi="Palatino Linotype"/>
        </w:rPr>
      </w:pPr>
      <w:r w:rsidRPr="00DE7616">
        <w:rPr>
          <w:rStyle w:val="FontStyle13"/>
          <w:rFonts w:ascii="Palatino Linotype" w:hAnsi="Palatino Linotype"/>
        </w:rPr>
        <w:t>Zestaw pytań testowych składa się z 36 pytań jednokrotnego wyboru, przy czym każde pytanie zawiera po 3 propozycje odpowiedzi.</w:t>
      </w:r>
    </w:p>
    <w:p w14:paraId="35CF0849" w14:textId="77777777" w:rsidR="00DE7616" w:rsidRPr="00DE7616" w:rsidRDefault="00DE7616" w:rsidP="00DE7616">
      <w:pPr>
        <w:pStyle w:val="Style6"/>
        <w:widowControl/>
        <w:jc w:val="both"/>
        <w:rPr>
          <w:rStyle w:val="FontStyle13"/>
          <w:rFonts w:ascii="Palatino Linotype" w:hAnsi="Palatino Linotype"/>
        </w:rPr>
      </w:pPr>
      <w:r w:rsidRPr="00DE7616">
        <w:rPr>
          <w:rStyle w:val="FontStyle13"/>
          <w:rFonts w:ascii="Palatino Linotype" w:hAnsi="Palatino Linotype"/>
        </w:rPr>
        <w:t xml:space="preserve">Wybraną - jako prawidłową - odpowiedź należy zakreślić. Na każde pytanie testowe tylko jedna odpowiedź jest prawidłowa. Niedopuszczalne jest dokonywanie dodatkowych </w:t>
      </w:r>
      <w:r w:rsidRPr="00DE7616">
        <w:rPr>
          <w:rStyle w:val="FontStyle12"/>
          <w:rFonts w:ascii="Palatino Linotype" w:hAnsi="Palatino Linotype"/>
          <w:sz w:val="24"/>
          <w:szCs w:val="24"/>
        </w:rPr>
        <w:t xml:space="preserve">założeń, </w:t>
      </w:r>
      <w:r w:rsidRPr="00DE7616">
        <w:rPr>
          <w:rStyle w:val="FontStyle13"/>
          <w:rFonts w:ascii="Palatino Linotype" w:hAnsi="Palatino Linotype"/>
        </w:rPr>
        <w:t xml:space="preserve">wykraczających </w:t>
      </w:r>
      <w:r w:rsidRPr="00DE7616">
        <w:rPr>
          <w:rStyle w:val="FontStyle12"/>
          <w:rFonts w:ascii="Palatino Linotype" w:hAnsi="Palatino Linotype"/>
          <w:sz w:val="24"/>
          <w:szCs w:val="24"/>
        </w:rPr>
        <w:t xml:space="preserve">poza </w:t>
      </w:r>
      <w:r w:rsidRPr="00DE7616">
        <w:rPr>
          <w:rStyle w:val="FontStyle13"/>
          <w:rFonts w:ascii="Palatino Linotype" w:hAnsi="Palatino Linotype"/>
        </w:rPr>
        <w:t>treść pytania.</w:t>
      </w:r>
    </w:p>
    <w:p w14:paraId="627DAB50" w14:textId="77777777" w:rsidR="00DE7616" w:rsidRPr="00DE7616" w:rsidRDefault="00DE7616" w:rsidP="00DE7616">
      <w:pPr>
        <w:pStyle w:val="Style5"/>
        <w:widowControl/>
        <w:numPr>
          <w:ilvl w:val="0"/>
          <w:numId w:val="2"/>
        </w:numPr>
        <w:tabs>
          <w:tab w:val="left" w:pos="245"/>
        </w:tabs>
        <w:spacing w:before="331" w:line="355" w:lineRule="exact"/>
        <w:rPr>
          <w:rStyle w:val="FontStyle13"/>
          <w:rFonts w:ascii="Palatino Linotype" w:hAnsi="Palatino Linotype"/>
        </w:rPr>
      </w:pPr>
      <w:r w:rsidRPr="00DE7616">
        <w:rPr>
          <w:rStyle w:val="FontStyle13"/>
          <w:rFonts w:ascii="Palatino Linotype" w:hAnsi="Palatino Linotype"/>
        </w:rPr>
        <w:t xml:space="preserve">Za każdą prawidłową odpowiedź kandydat otrzymuje </w:t>
      </w:r>
      <w:r w:rsidRPr="00DE7616">
        <w:rPr>
          <w:rStyle w:val="FontStyle11"/>
          <w:rFonts w:ascii="Palatino Linotype" w:hAnsi="Palatino Linotype"/>
          <w:b w:val="0"/>
          <w:sz w:val="24"/>
          <w:szCs w:val="24"/>
        </w:rPr>
        <w:t>1</w:t>
      </w:r>
      <w:r w:rsidRPr="00DE7616">
        <w:rPr>
          <w:rStyle w:val="FontStyle11"/>
          <w:rFonts w:ascii="Palatino Linotype" w:hAnsi="Palatino Linotype"/>
          <w:sz w:val="24"/>
          <w:szCs w:val="24"/>
        </w:rPr>
        <w:t xml:space="preserve"> </w:t>
      </w:r>
      <w:r w:rsidRPr="00DE7616">
        <w:rPr>
          <w:rStyle w:val="FontStyle13"/>
          <w:rFonts w:ascii="Palatino Linotype" w:hAnsi="Palatino Linotype"/>
        </w:rPr>
        <w:t>punkt. W przypadku zaznaczenia więcej niż jednej odpowiedzi, żadna z odpowiedzi nie podlega zaliczeniu jako prawidłowa.</w:t>
      </w:r>
    </w:p>
    <w:p w14:paraId="0A221141" w14:textId="77777777" w:rsidR="00DE7616" w:rsidRPr="00DE7616" w:rsidRDefault="00DE7616" w:rsidP="00DE7616">
      <w:pPr>
        <w:pStyle w:val="Style5"/>
        <w:widowControl/>
        <w:numPr>
          <w:ilvl w:val="0"/>
          <w:numId w:val="2"/>
        </w:numPr>
        <w:tabs>
          <w:tab w:val="left" w:pos="245"/>
        </w:tabs>
        <w:spacing w:before="389" w:line="240" w:lineRule="auto"/>
        <w:rPr>
          <w:rStyle w:val="FontStyle13"/>
          <w:rFonts w:ascii="Palatino Linotype" w:hAnsi="Palatino Linotype"/>
        </w:rPr>
      </w:pPr>
      <w:r w:rsidRPr="00DE7616">
        <w:rPr>
          <w:rStyle w:val="FontStyle13"/>
          <w:rFonts w:ascii="Palatino Linotype" w:hAnsi="Palatino Linotype"/>
        </w:rPr>
        <w:t>Z dwóch tematów pracy pisemnej należy wybrać i opracować jeden.</w:t>
      </w:r>
    </w:p>
    <w:p w14:paraId="57FCA162" w14:textId="77777777" w:rsidR="00DE7616" w:rsidRPr="00DE7616" w:rsidRDefault="00DE7616" w:rsidP="00DE7616">
      <w:pPr>
        <w:pStyle w:val="Style5"/>
        <w:widowControl/>
        <w:numPr>
          <w:ilvl w:val="0"/>
          <w:numId w:val="2"/>
        </w:numPr>
        <w:tabs>
          <w:tab w:val="left" w:pos="245"/>
        </w:tabs>
        <w:spacing w:before="331" w:line="350" w:lineRule="exact"/>
        <w:rPr>
          <w:rStyle w:val="FontStyle13"/>
          <w:rFonts w:ascii="Palatino Linotype" w:hAnsi="Palatino Linotype"/>
        </w:rPr>
      </w:pPr>
      <w:r w:rsidRPr="00DE7616">
        <w:rPr>
          <w:rStyle w:val="FontStyle13"/>
          <w:rFonts w:ascii="Palatino Linotype" w:hAnsi="Palatino Linotype"/>
        </w:rPr>
        <w:t>Za każde prawidłowe rozwiązanie zadania testowego Komisja przyznaje 1 punkt. Pracę pisemną Komisja ocenia w skali od 0 do 9 punktów.</w:t>
      </w:r>
    </w:p>
    <w:p w14:paraId="11C82457" w14:textId="77777777" w:rsidR="00DE7616" w:rsidRPr="00DE7616" w:rsidRDefault="00DE7616" w:rsidP="00DE7616">
      <w:pPr>
        <w:pStyle w:val="Style5"/>
        <w:widowControl/>
        <w:numPr>
          <w:ilvl w:val="0"/>
          <w:numId w:val="3"/>
        </w:numPr>
        <w:tabs>
          <w:tab w:val="left" w:pos="254"/>
        </w:tabs>
        <w:spacing w:before="350" w:line="331" w:lineRule="exact"/>
        <w:rPr>
          <w:rStyle w:val="FontStyle13"/>
          <w:rFonts w:ascii="Palatino Linotype" w:hAnsi="Palatino Linotype"/>
        </w:rPr>
      </w:pPr>
      <w:r w:rsidRPr="00DE7616">
        <w:rPr>
          <w:rStyle w:val="FontStyle13"/>
          <w:rFonts w:ascii="Palatino Linotype" w:hAnsi="Palatino Linotype"/>
        </w:rPr>
        <w:t>Do trzeciego etapu konkursu dopuszczeni są kandydaci, którzy uzyskali, co najmniej 29 punktów, w tym co najmniej 3 punkty z pracy pisemnej.</w:t>
      </w:r>
    </w:p>
    <w:p w14:paraId="4626DB1F" w14:textId="77777777" w:rsidR="00DE7616" w:rsidRPr="00DE7616" w:rsidRDefault="00DE7616" w:rsidP="00DE7616">
      <w:pPr>
        <w:pStyle w:val="Style5"/>
        <w:widowControl/>
        <w:numPr>
          <w:ilvl w:val="0"/>
          <w:numId w:val="3"/>
        </w:numPr>
        <w:tabs>
          <w:tab w:val="left" w:pos="254"/>
        </w:tabs>
        <w:spacing w:before="322" w:line="341" w:lineRule="exact"/>
        <w:rPr>
          <w:rStyle w:val="FontStyle13"/>
          <w:rFonts w:ascii="Palatino Linotype" w:hAnsi="Palatino Linotype"/>
        </w:rPr>
      </w:pPr>
      <w:r w:rsidRPr="00DE7616">
        <w:rPr>
          <w:rStyle w:val="FontStyle13"/>
          <w:rFonts w:ascii="Palatino Linotype" w:hAnsi="Palatino Linotype"/>
        </w:rPr>
        <w:t>Prawidłowość odpowiedzi ocenia się według stanu prawnego na dzień 17 marca 2025 r.</w:t>
      </w:r>
    </w:p>
    <w:p w14:paraId="5BB112F8" w14:textId="77777777" w:rsidR="00DE7616" w:rsidRDefault="00DE7616" w:rsidP="00DE7616">
      <w:pPr>
        <w:pStyle w:val="Style5"/>
        <w:widowControl/>
        <w:numPr>
          <w:ilvl w:val="0"/>
          <w:numId w:val="3"/>
        </w:numPr>
        <w:tabs>
          <w:tab w:val="left" w:pos="254"/>
        </w:tabs>
        <w:spacing w:before="269" w:line="240" w:lineRule="auto"/>
        <w:jc w:val="left"/>
        <w:rPr>
          <w:rStyle w:val="FontStyle13"/>
          <w:rFonts w:ascii="Palatino Linotype" w:hAnsi="Palatino Linotype"/>
        </w:rPr>
      </w:pPr>
      <w:r w:rsidRPr="00DE7616">
        <w:rPr>
          <w:rStyle w:val="FontStyle13"/>
          <w:rFonts w:ascii="Palatino Linotype" w:hAnsi="Palatino Linotype"/>
        </w:rPr>
        <w:t>Drugi etap konkursu trwa 90 minut.</w:t>
      </w:r>
    </w:p>
    <w:p w14:paraId="3331A4B6" w14:textId="77777777" w:rsidR="00B56A86" w:rsidRDefault="00B56A86" w:rsidP="003B7F46">
      <w:pPr>
        <w:pStyle w:val="Style5"/>
        <w:widowControl/>
        <w:tabs>
          <w:tab w:val="left" w:pos="254"/>
        </w:tabs>
        <w:spacing w:before="269" w:line="240" w:lineRule="auto"/>
        <w:jc w:val="left"/>
        <w:rPr>
          <w:rStyle w:val="FontStyle13"/>
          <w:rFonts w:ascii="Palatino Linotype" w:hAnsi="Palatino Linotype"/>
        </w:rPr>
      </w:pPr>
    </w:p>
    <w:p w14:paraId="1288B42F" w14:textId="77777777" w:rsidR="00B56A86" w:rsidRPr="00315D75" w:rsidRDefault="00B56A86" w:rsidP="00B56A86">
      <w:pPr>
        <w:pStyle w:val="Style5"/>
        <w:widowControl/>
        <w:tabs>
          <w:tab w:val="left" w:pos="254"/>
        </w:tabs>
        <w:spacing w:before="269" w:line="240" w:lineRule="auto"/>
        <w:jc w:val="left"/>
        <w:rPr>
          <w:rStyle w:val="FontStyle13"/>
          <w:rFonts w:ascii="Palatino Linotype" w:hAnsi="Palatino Linotype"/>
        </w:rPr>
      </w:pPr>
    </w:p>
    <w:p w14:paraId="21752F4A" w14:textId="77777777" w:rsidR="00B56A86" w:rsidRPr="000376C2" w:rsidRDefault="00B56A86" w:rsidP="00B56A86">
      <w:pPr>
        <w:pStyle w:val="Style5"/>
        <w:widowControl/>
        <w:tabs>
          <w:tab w:val="left" w:pos="254"/>
        </w:tabs>
        <w:spacing w:line="240" w:lineRule="auto"/>
        <w:jc w:val="center"/>
        <w:rPr>
          <w:rStyle w:val="FontStyle13"/>
          <w:rFonts w:ascii="Palatino Linotype" w:hAnsi="Palatino Linotype"/>
          <w:b/>
        </w:rPr>
      </w:pPr>
      <w:r w:rsidRPr="000376C2">
        <w:rPr>
          <w:rStyle w:val="FontStyle13"/>
          <w:rFonts w:ascii="Palatino Linotype" w:hAnsi="Palatino Linotype"/>
          <w:b/>
        </w:rPr>
        <w:t>Etap II</w:t>
      </w:r>
    </w:p>
    <w:p w14:paraId="27A3F6E9" w14:textId="77777777" w:rsidR="00B56A86" w:rsidRPr="000376C2" w:rsidRDefault="00B56A86" w:rsidP="00B56A86">
      <w:pPr>
        <w:pStyle w:val="Style5"/>
        <w:widowControl/>
        <w:tabs>
          <w:tab w:val="left" w:pos="254"/>
        </w:tabs>
        <w:spacing w:line="240" w:lineRule="auto"/>
        <w:jc w:val="center"/>
        <w:rPr>
          <w:rStyle w:val="FontStyle13"/>
          <w:rFonts w:ascii="Palatino Linotype" w:hAnsi="Palatino Linotype"/>
          <w:b/>
        </w:rPr>
      </w:pPr>
      <w:r w:rsidRPr="000376C2">
        <w:rPr>
          <w:rStyle w:val="FontStyle13"/>
          <w:rFonts w:ascii="Palatino Linotype" w:hAnsi="Palatino Linotype"/>
          <w:b/>
        </w:rPr>
        <w:t xml:space="preserve">pytania testowe </w:t>
      </w:r>
    </w:p>
    <w:p w14:paraId="584417FE" w14:textId="77777777" w:rsidR="00B56A86" w:rsidRPr="000376C2" w:rsidRDefault="00B56A86" w:rsidP="00B56A86">
      <w:pPr>
        <w:pStyle w:val="Style5"/>
        <w:widowControl/>
        <w:tabs>
          <w:tab w:val="left" w:pos="254"/>
        </w:tabs>
        <w:spacing w:line="240" w:lineRule="auto"/>
        <w:jc w:val="center"/>
        <w:rPr>
          <w:rStyle w:val="FontStyle13"/>
          <w:rFonts w:ascii="Palatino Linotype" w:hAnsi="Palatino Linotype"/>
          <w:b/>
        </w:rPr>
      </w:pPr>
      <w:r w:rsidRPr="000376C2">
        <w:rPr>
          <w:rStyle w:val="FontStyle13"/>
          <w:rFonts w:ascii="Palatino Linotype" w:hAnsi="Palatino Linotype"/>
          <w:b/>
        </w:rPr>
        <w:t>(nalży wybrać jedną prawidłową odpowiedź i ją zaznaczyć?)</w:t>
      </w:r>
    </w:p>
    <w:p w14:paraId="475952D3" w14:textId="77777777" w:rsidR="00DE7616" w:rsidRPr="000376C2" w:rsidRDefault="00DE7616">
      <w:pPr>
        <w:rPr>
          <w:rFonts w:ascii="Palatino Linotype" w:hAnsi="Palatino Linotype"/>
          <w:sz w:val="24"/>
          <w:szCs w:val="24"/>
        </w:rPr>
      </w:pPr>
    </w:p>
    <w:p w14:paraId="48CB438A" w14:textId="77777777" w:rsidR="00B56A86" w:rsidRPr="000376C2" w:rsidRDefault="00B56A86" w:rsidP="00315D75">
      <w:pPr>
        <w:jc w:val="both"/>
        <w:rPr>
          <w:rFonts w:ascii="Palatino Linotype" w:hAnsi="Palatino Linotype"/>
          <w:sz w:val="24"/>
          <w:szCs w:val="24"/>
        </w:rPr>
      </w:pPr>
    </w:p>
    <w:p w14:paraId="38EAEBA3"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W przypadku przekroczenia granic stanu wyższej konieczności:</w:t>
      </w:r>
    </w:p>
    <w:p w14:paraId="275E9246"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721E5AE6" w14:textId="77777777" w:rsidR="00B56A86" w:rsidRPr="000376C2" w:rsidRDefault="00B56A86" w:rsidP="00533133">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sprawca nie podlega karze;</w:t>
      </w:r>
    </w:p>
    <w:p w14:paraId="119210BC" w14:textId="77777777" w:rsidR="00B56A86" w:rsidRPr="000376C2" w:rsidRDefault="00B56A86" w:rsidP="00533133">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sąd może zastosować nadzwyczajne złagodzenie kary;</w:t>
      </w:r>
    </w:p>
    <w:p w14:paraId="2B98B46B" w14:textId="77777777" w:rsidR="00B56A86" w:rsidRPr="000376C2" w:rsidRDefault="00533133"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 xml:space="preserve">c/ </w:t>
      </w:r>
      <w:r w:rsidR="00B56A86" w:rsidRPr="000376C2">
        <w:rPr>
          <w:rFonts w:ascii="Palatino Linotype" w:eastAsia="Tahoma" w:hAnsi="Palatino Linotype" w:cs="Times New Roman"/>
          <w:sz w:val="24"/>
          <w:szCs w:val="24"/>
        </w:rPr>
        <w:t>sąd odstępuje od wymierzenia kary.</w:t>
      </w:r>
    </w:p>
    <w:p w14:paraId="1C4E4896"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0243628F"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 xml:space="preserve"> Oskarżony w postępowaniu karnym musi mieć obrońcę:</w:t>
      </w:r>
    </w:p>
    <w:p w14:paraId="6E28C709"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2D68A23A" w14:textId="77777777" w:rsidR="00B56A86" w:rsidRPr="000376C2" w:rsidRDefault="00B56A86" w:rsidP="00533133">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jeżeli nie ukończył 18 lat;</w:t>
      </w:r>
    </w:p>
    <w:p w14:paraId="22246284" w14:textId="77777777" w:rsidR="00B56A86" w:rsidRPr="000376C2" w:rsidRDefault="00B56A86" w:rsidP="00533133">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nie włada językiem polskim;</w:t>
      </w:r>
    </w:p>
    <w:p w14:paraId="68E41474"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w postępowaniu przed sądem okręgowym I instancji.</w:t>
      </w:r>
    </w:p>
    <w:p w14:paraId="10F19051"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1E3A35AA"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 xml:space="preserve"> Umarzając warunkowo postępowanie karne na posiedzeniu sąd orzeka:</w:t>
      </w:r>
    </w:p>
    <w:p w14:paraId="3A29841D"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65BE1FB4" w14:textId="77777777" w:rsidR="00B56A86" w:rsidRPr="000376C2" w:rsidRDefault="00B56A86" w:rsidP="00533133">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postanowieniem;</w:t>
      </w:r>
    </w:p>
    <w:p w14:paraId="49D32E0E" w14:textId="77777777" w:rsidR="00B56A86" w:rsidRPr="000376C2" w:rsidRDefault="00B56A86" w:rsidP="00533133">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 xml:space="preserve">b/ wyrokiem; </w:t>
      </w:r>
    </w:p>
    <w:p w14:paraId="459ABDFB"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zarządzeniem.</w:t>
      </w:r>
    </w:p>
    <w:p w14:paraId="5C77196D" w14:textId="77777777" w:rsidR="00B56A86" w:rsidRPr="000376C2" w:rsidRDefault="00B56A86" w:rsidP="00315D75">
      <w:pPr>
        <w:widowControl w:val="0"/>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 xml:space="preserve">   </w:t>
      </w:r>
    </w:p>
    <w:p w14:paraId="6017633B" w14:textId="77777777" w:rsidR="00B56A86" w:rsidRPr="000376C2" w:rsidRDefault="009162E1"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Pr>
          <w:rFonts w:ascii="Palatino Linotype" w:eastAsia="Tahoma" w:hAnsi="Palatino Linotype" w:cs="Times New Roman"/>
          <w:sz w:val="24"/>
          <w:szCs w:val="24"/>
        </w:rPr>
        <w:t>Wyrokiem nakazowym</w:t>
      </w:r>
      <w:r w:rsidR="00B56A86" w:rsidRPr="000376C2">
        <w:rPr>
          <w:rFonts w:ascii="Palatino Linotype" w:eastAsia="Tahoma" w:hAnsi="Palatino Linotype" w:cs="Times New Roman"/>
          <w:sz w:val="24"/>
          <w:szCs w:val="24"/>
        </w:rPr>
        <w:t xml:space="preserve"> nie można orzec:</w:t>
      </w:r>
    </w:p>
    <w:p w14:paraId="7C46B934"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403BF9E0" w14:textId="77777777" w:rsidR="00B56A86" w:rsidRPr="000376C2" w:rsidRDefault="00B56A86" w:rsidP="00533133">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kary ograniczenia wolności powyżej 1 roku;</w:t>
      </w:r>
    </w:p>
    <w:p w14:paraId="57EDD520" w14:textId="77777777" w:rsidR="00B56A86" w:rsidRPr="000376C2" w:rsidRDefault="00B56A86" w:rsidP="00533133">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środka karnego w postaci zakazu prowadzenia pojazdów mechanicznych;</w:t>
      </w:r>
    </w:p>
    <w:p w14:paraId="5A1602CB"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kary pozbawienia wolności powyżej 6 miesięcy.</w:t>
      </w:r>
    </w:p>
    <w:p w14:paraId="1975FB3E"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5E3436AA"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 xml:space="preserve">Zbrodnią </w:t>
      </w:r>
      <w:r w:rsidR="009162E1">
        <w:rPr>
          <w:rFonts w:ascii="Palatino Linotype" w:eastAsia="Tahoma" w:hAnsi="Palatino Linotype" w:cs="Times New Roman"/>
          <w:sz w:val="24"/>
          <w:szCs w:val="24"/>
        </w:rPr>
        <w:t>według definicji z Kodeksu Karnego:</w:t>
      </w:r>
    </w:p>
    <w:p w14:paraId="1421F9FE"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76803DC4" w14:textId="77777777" w:rsidR="00B56A86" w:rsidRPr="000376C2" w:rsidRDefault="009162E1" w:rsidP="00533133">
      <w:pPr>
        <w:widowControl w:val="0"/>
        <w:suppressAutoHyphens/>
        <w:spacing w:after="0" w:line="240" w:lineRule="auto"/>
        <w:ind w:left="720"/>
        <w:jc w:val="both"/>
        <w:rPr>
          <w:rFonts w:ascii="Palatino Linotype" w:eastAsia="Tahoma" w:hAnsi="Palatino Linotype" w:cs="Times New Roman"/>
          <w:sz w:val="24"/>
          <w:szCs w:val="24"/>
        </w:rPr>
      </w:pPr>
      <w:r>
        <w:rPr>
          <w:rFonts w:ascii="Palatino Linotype" w:eastAsia="Tahoma" w:hAnsi="Palatino Linotype" w:cs="Times New Roman"/>
          <w:sz w:val="24"/>
          <w:szCs w:val="24"/>
        </w:rPr>
        <w:t xml:space="preserve">a/ karą 30 </w:t>
      </w:r>
      <w:r w:rsidR="00B56A86" w:rsidRPr="000376C2">
        <w:rPr>
          <w:rFonts w:ascii="Palatino Linotype" w:eastAsia="Tahoma" w:hAnsi="Palatino Linotype" w:cs="Times New Roman"/>
          <w:sz w:val="24"/>
          <w:szCs w:val="24"/>
        </w:rPr>
        <w:t>lat pozbawienia wolności lub dożywotniego pozbawienia wolności;</w:t>
      </w:r>
    </w:p>
    <w:p w14:paraId="30CE86C2" w14:textId="77777777" w:rsidR="00B56A86" w:rsidRPr="000376C2" w:rsidRDefault="00B56A86" w:rsidP="00533133">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 xml:space="preserve">b/ karą pozbawienia wolności </w:t>
      </w:r>
      <w:r w:rsidR="009162E1">
        <w:rPr>
          <w:rFonts w:ascii="Palatino Linotype" w:eastAsia="Tahoma" w:hAnsi="Palatino Linotype" w:cs="Times New Roman"/>
          <w:sz w:val="24"/>
          <w:szCs w:val="24"/>
        </w:rPr>
        <w:t>powyżej</w:t>
      </w:r>
      <w:r w:rsidRPr="000376C2">
        <w:rPr>
          <w:rFonts w:ascii="Palatino Linotype" w:eastAsia="Tahoma" w:hAnsi="Palatino Linotype" w:cs="Times New Roman"/>
          <w:sz w:val="24"/>
          <w:szCs w:val="24"/>
        </w:rPr>
        <w:t xml:space="preserve"> 5 lat; </w:t>
      </w:r>
    </w:p>
    <w:p w14:paraId="7E14925F"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karą pozbawienia wolności na czas nie krótszy od lat 3 albo karą surowszą.</w:t>
      </w:r>
    </w:p>
    <w:p w14:paraId="764034CE"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1836AB10"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W razie skazania za czyn z art. 178a § 1 kk sąd orzeka zakaz:</w:t>
      </w:r>
    </w:p>
    <w:p w14:paraId="044D51C5" w14:textId="77777777" w:rsidR="00B56A86" w:rsidRPr="000376C2" w:rsidRDefault="00B56A86" w:rsidP="00533133">
      <w:pPr>
        <w:widowControl w:val="0"/>
        <w:suppressAutoHyphens/>
        <w:spacing w:after="0" w:line="240" w:lineRule="auto"/>
        <w:ind w:left="360"/>
        <w:jc w:val="both"/>
        <w:rPr>
          <w:rFonts w:ascii="Palatino Linotype" w:eastAsia="Tahoma" w:hAnsi="Palatino Linotype" w:cs="Times New Roman"/>
          <w:sz w:val="24"/>
          <w:szCs w:val="24"/>
        </w:rPr>
      </w:pPr>
    </w:p>
    <w:p w14:paraId="25469496" w14:textId="77777777" w:rsidR="00B56A86" w:rsidRPr="000376C2" w:rsidRDefault="00B56A86" w:rsidP="00533133">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na okres nie krótszy niż 2 lata prowadzenia wszelkich pojazdów;</w:t>
      </w:r>
    </w:p>
    <w:p w14:paraId="1FBF03CE" w14:textId="77777777" w:rsidR="00B56A86" w:rsidRPr="000376C2" w:rsidRDefault="00B56A86" w:rsidP="00533133">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na okres nie krótszy niż 3 lata prowadzenia wszelkich pojazdów albo pojazdów określonego rodzaju;</w:t>
      </w:r>
    </w:p>
    <w:p w14:paraId="7E01A9FC"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dożywotniego prowadzenia wszelkich pojazdów.</w:t>
      </w:r>
    </w:p>
    <w:p w14:paraId="20E31293"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424C45C7"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W przypadku przekroczenia granic obrony koniecznej, przy odpieraniu zamachu polegającego na wdarciu się do mieszkania, lokalu, domu albo na przylegający do nich ogrodzony teren lub odpieraniu zamachu poprzedzonego wdarciem się do tych miejsc, osoba stosująca obronę konieczną:</w:t>
      </w:r>
    </w:p>
    <w:p w14:paraId="031DBBDD"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26BCB539"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nie podlega karze, chyba że przekroczenie granic obrony koniecznej było rażące;</w:t>
      </w:r>
    </w:p>
    <w:p w14:paraId="30811E6E"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nie popełnia przestępstwa;</w:t>
      </w:r>
    </w:p>
    <w:p w14:paraId="647940D1"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nie podlega karze.</w:t>
      </w:r>
    </w:p>
    <w:p w14:paraId="1AB8907B"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358B9082"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 xml:space="preserve">Występkiem </w:t>
      </w:r>
      <w:r w:rsidR="009162E1">
        <w:rPr>
          <w:rFonts w:ascii="Palatino Linotype" w:eastAsia="Tahoma" w:hAnsi="Palatino Linotype" w:cs="Times New Roman"/>
          <w:sz w:val="24"/>
          <w:szCs w:val="24"/>
        </w:rPr>
        <w:t xml:space="preserve">według definicji z Kodeksu Karnego </w:t>
      </w:r>
      <w:r w:rsidRPr="000376C2">
        <w:rPr>
          <w:rFonts w:ascii="Palatino Linotype" w:eastAsia="Tahoma" w:hAnsi="Palatino Linotype" w:cs="Times New Roman"/>
          <w:sz w:val="24"/>
          <w:szCs w:val="24"/>
        </w:rPr>
        <w:t>jest czyn zabroniony zagrożony karą:</w:t>
      </w:r>
    </w:p>
    <w:p w14:paraId="46338C30"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4295F9C9"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grzywny powyżej 30 stawek dziennych albo powyżej 5000 złotych, karą ograniczenia wolności przekraczającą miesiąc albo karą pozbawienia wolności przekraczającą miesiąc;</w:t>
      </w:r>
    </w:p>
    <w:p w14:paraId="0E9C6086"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pozbawienia wolności do lat 3;</w:t>
      </w:r>
    </w:p>
    <w:p w14:paraId="202FB99E"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karą ograniczenia wolności do lat 2 lub karą grzywny.</w:t>
      </w:r>
    </w:p>
    <w:p w14:paraId="61F09A12"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66537CCD"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Sąd w postępowaniu nakazowym może w wypadkach pozwalających na orzeczenie kary ograniczenia wolności lub grzywny wydać wyrok nakazowy:</w:t>
      </w:r>
    </w:p>
    <w:p w14:paraId="2BE7C3A1"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7548B454"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sprawach, w których prowadzon</w:t>
      </w:r>
      <w:r w:rsidR="00077AD4" w:rsidRPr="000376C2">
        <w:rPr>
          <w:rFonts w:ascii="Palatino Linotype" w:eastAsia="Tahoma" w:hAnsi="Palatino Linotype" w:cs="Times New Roman"/>
          <w:sz w:val="24"/>
          <w:szCs w:val="24"/>
        </w:rPr>
        <w:t>o dochodzenie z art. 212 § 1 kk</w:t>
      </w:r>
    </w:p>
    <w:p w14:paraId="013AE73E"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sprawach, w których prowadzono dochodzenie z art. 278 § 1 kk;</w:t>
      </w:r>
    </w:p>
    <w:p w14:paraId="4BC5D837"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sprawach, w których prowadzono śledztwo z art. 155 kk.</w:t>
      </w:r>
    </w:p>
    <w:p w14:paraId="000493A5"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4AA0E1D4"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 xml:space="preserve"> Obrona konieczna polega na:</w:t>
      </w:r>
    </w:p>
    <w:p w14:paraId="19046766"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58FF6C2D"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odpieraniu bezpośredniego, bezprawnego zamachu na jakiekolwiek dobro chronione prawem,</w:t>
      </w:r>
    </w:p>
    <w:p w14:paraId="59E5D60F"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odpieraniu każdego bezprawnego zamachu na jakiekolwiek dobro chronione prawem,</w:t>
      </w:r>
    </w:p>
    <w:p w14:paraId="6151E3E0"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odpieraniu bezprawnego zamachu na jakiekolwiek mienie osoby pokrzywdzonej.</w:t>
      </w:r>
    </w:p>
    <w:p w14:paraId="1D9FEDD5"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1B73B59C"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 xml:space="preserve"> Sąd może zastosować środek zapobiegawczy w postaci tymczasowego aresztowania tyko w przypadku, gdy :</w:t>
      </w:r>
    </w:p>
    <w:p w14:paraId="410AE21C" w14:textId="77777777" w:rsidR="00B56A86" w:rsidRPr="000376C2" w:rsidRDefault="00B56A86" w:rsidP="00077AD4">
      <w:pPr>
        <w:widowControl w:val="0"/>
        <w:suppressAutoHyphens/>
        <w:spacing w:after="0" w:line="240" w:lineRule="auto"/>
        <w:jc w:val="both"/>
        <w:rPr>
          <w:rFonts w:ascii="Palatino Linotype" w:eastAsia="Tahoma" w:hAnsi="Palatino Linotype" w:cs="Times New Roman"/>
          <w:sz w:val="24"/>
          <w:szCs w:val="24"/>
        </w:rPr>
      </w:pPr>
    </w:p>
    <w:p w14:paraId="59912E1A"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gdy zebrane dowody wskazują na duże prawdopodobieństwo, że oskarżony popełnił przestępstwo;</w:t>
      </w:r>
    </w:p>
    <w:p w14:paraId="31A284CC"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gdy zebrane dowody wskazują na to, że oskarżony popełnił przestępstwo;</w:t>
      </w:r>
    </w:p>
    <w:p w14:paraId="42CD486C"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oskarżony ma postawiony zarzut dokonania zbrodni.</w:t>
      </w:r>
    </w:p>
    <w:p w14:paraId="5860278E"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7BDA67FF"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Terminy do wnoszenia środków zaskarżenia są:</w:t>
      </w:r>
    </w:p>
    <w:p w14:paraId="04D493AE"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6A323F5E"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prekluzyjne;</w:t>
      </w:r>
    </w:p>
    <w:p w14:paraId="24B5EC17"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zawite;</w:t>
      </w:r>
    </w:p>
    <w:p w14:paraId="722EFA41"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instrukcyjne.</w:t>
      </w:r>
    </w:p>
    <w:p w14:paraId="0F438FE5"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2DF3F678"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Jan K. w okresie od 12 do 15 marca 2024 roku, przy wykorzystaniu tej samej albo takiej samej sposobności lub w podobny sposób, dokonał w sklepie sieci R. w miejscowości S. pięciokrotnie kradzieży artykułów chemicznych każdorazowo o wartości 200 złotych. W związku z tym podlegać będzie odpowiedzialności:</w:t>
      </w:r>
    </w:p>
    <w:p w14:paraId="03432EDE"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4369A2E3"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za przestępstwo;</w:t>
      </w:r>
    </w:p>
    <w:p w14:paraId="469AA6B3"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za wykroczenie</w:t>
      </w:r>
    </w:p>
    <w:p w14:paraId="35F9EF67"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za pięć osobnych wykroczeń.</w:t>
      </w:r>
    </w:p>
    <w:p w14:paraId="50621C1B"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5EDD21E8"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W przypadku warunkowego umorzenia postępowania o czyn z art. 178a § 1 kk:</w:t>
      </w:r>
    </w:p>
    <w:p w14:paraId="646AA2E9"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69F8B87B"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sąd może orzec zakaz prowadzenia wszelkich pojazdów;</w:t>
      </w:r>
    </w:p>
    <w:p w14:paraId="05CA3FD9"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sąd orzeka  zakaz prowadzenia wszelkich pojazdów;</w:t>
      </w:r>
    </w:p>
    <w:p w14:paraId="3B00104B"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sąd może orzec zakaz prowadzenia wszelkich pojazdów na okres nie krótszy niż 3 lata.</w:t>
      </w:r>
    </w:p>
    <w:p w14:paraId="0C7DEA63"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559582F9"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Sad może skierować sprawę do postępowania mediacyjnego:</w:t>
      </w:r>
    </w:p>
    <w:p w14:paraId="63CE6E56"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016BB7F5"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 xml:space="preserve">a/ z urzędu; </w:t>
      </w:r>
    </w:p>
    <w:p w14:paraId="1C7CD5E6"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tylko za zgodą prokuratora;</w:t>
      </w:r>
    </w:p>
    <w:p w14:paraId="7C268C41"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z inicjatywy lub za zgodą oskarżonego i pokrzywdzonego.</w:t>
      </w:r>
    </w:p>
    <w:p w14:paraId="6DDF8BB0"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33FEE117"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 xml:space="preserve"> W razie śmierci oskarżonego w trakcie przewodu sadowego:</w:t>
      </w:r>
    </w:p>
    <w:p w14:paraId="540DF676"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36B4F52B"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postępowanie zawiesza się;</w:t>
      </w:r>
    </w:p>
    <w:p w14:paraId="572E4677"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sprawę zwraca się do prokuratury;</w:t>
      </w:r>
    </w:p>
    <w:p w14:paraId="255226E3"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postępowanie ulega umorzeniu.</w:t>
      </w:r>
    </w:p>
    <w:p w14:paraId="5BAA9C45"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3B39D9AF"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 xml:space="preserve"> Wydanie wyroku łącznego następuje:</w:t>
      </w:r>
    </w:p>
    <w:p w14:paraId="3560E784"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619E7DBB"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na wniosek skazanego;</w:t>
      </w:r>
    </w:p>
    <w:p w14:paraId="184A536A"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z urzędu;</w:t>
      </w:r>
    </w:p>
    <w:p w14:paraId="766ED33C"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 xml:space="preserve">c/ </w:t>
      </w:r>
      <w:r w:rsidRPr="000376C2">
        <w:rPr>
          <w:rFonts w:ascii="Palatino Linotype" w:eastAsia="Tahoma" w:hAnsi="Palatino Linotype" w:cs="Times New Roman"/>
          <w:bCs/>
          <w:sz w:val="24"/>
          <w:szCs w:val="24"/>
        </w:rPr>
        <w:t>z urzędu lub na wniosek skazanego albo prokuratora</w:t>
      </w:r>
      <w:r w:rsidRPr="000376C2">
        <w:rPr>
          <w:rFonts w:ascii="Palatino Linotype" w:eastAsia="Tahoma" w:hAnsi="Palatino Linotype" w:cs="Times New Roman"/>
          <w:sz w:val="24"/>
          <w:szCs w:val="24"/>
        </w:rPr>
        <w:t>.</w:t>
      </w:r>
    </w:p>
    <w:p w14:paraId="14AA9AD0"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7001D455" w14:textId="77777777" w:rsidR="00B56A86" w:rsidRPr="000376C2" w:rsidRDefault="00B56A86" w:rsidP="00315D75">
      <w:pPr>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Środek zapobiegawczy w postaci tymczasowego aresztowania stosuje:</w:t>
      </w:r>
    </w:p>
    <w:p w14:paraId="113BB89E"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3B264311"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prokurator na etapie postępowania przygotowawczego;</w:t>
      </w:r>
    </w:p>
    <w:p w14:paraId="45E7A975" w14:textId="77777777" w:rsidR="00B56A86" w:rsidRPr="000376C2" w:rsidRDefault="00B56A86" w:rsidP="00077AD4">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sąd dopiero po skierowaniu aktu oskarżenia do sądu;</w:t>
      </w:r>
    </w:p>
    <w:p w14:paraId="635CD5E1"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sąd na każdym etapie postepowania karnego.</w:t>
      </w:r>
    </w:p>
    <w:p w14:paraId="7B85F38C" w14:textId="77777777" w:rsidR="00077AD4" w:rsidRPr="000376C2" w:rsidRDefault="00077AD4" w:rsidP="00315D75">
      <w:pPr>
        <w:widowControl w:val="0"/>
        <w:suppressAutoHyphens/>
        <w:spacing w:after="0" w:line="240" w:lineRule="auto"/>
        <w:ind w:left="720"/>
        <w:jc w:val="both"/>
        <w:rPr>
          <w:rFonts w:ascii="Palatino Linotype" w:eastAsia="Tahoma" w:hAnsi="Palatino Linotype" w:cs="Times New Roman"/>
          <w:sz w:val="24"/>
          <w:szCs w:val="24"/>
        </w:rPr>
      </w:pPr>
    </w:p>
    <w:p w14:paraId="5CDD47C1" w14:textId="77777777" w:rsidR="00AB168B" w:rsidRPr="000376C2" w:rsidRDefault="00AB168B" w:rsidP="00AB168B">
      <w:pPr>
        <w:pStyle w:val="Akapitzlist"/>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Częścią składową nieruchomości są:</w:t>
      </w:r>
    </w:p>
    <w:p w14:paraId="3016A7BB" w14:textId="77777777" w:rsidR="00AB168B" w:rsidRPr="000376C2" w:rsidRDefault="00AB168B" w:rsidP="00AB168B">
      <w:pPr>
        <w:pStyle w:val="Akapitzlist"/>
        <w:widowControl w:val="0"/>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a/ prawa związane z nieruchomością;</w:t>
      </w:r>
    </w:p>
    <w:p w14:paraId="702D8AFF" w14:textId="77777777" w:rsidR="00AB168B" w:rsidRPr="000376C2" w:rsidRDefault="00AB168B" w:rsidP="00AB168B">
      <w:pPr>
        <w:pStyle w:val="Akapitzlist"/>
        <w:widowControl w:val="0"/>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b/ drzewa;</w:t>
      </w:r>
    </w:p>
    <w:p w14:paraId="1E3A3F37" w14:textId="77777777" w:rsidR="00AB168B" w:rsidRPr="000376C2" w:rsidRDefault="00AB168B" w:rsidP="00AB168B">
      <w:pPr>
        <w:pStyle w:val="Akapitzlist"/>
        <w:widowControl w:val="0"/>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c/ urządzenia służące do doprowadzania gazu wchodzące w skład przedsiębiorstwa.</w:t>
      </w:r>
    </w:p>
    <w:p w14:paraId="3B97EE15" w14:textId="77777777" w:rsidR="00AB168B" w:rsidRPr="000376C2" w:rsidRDefault="00AB168B" w:rsidP="00AB168B">
      <w:pPr>
        <w:pStyle w:val="Akapitzlist"/>
        <w:widowControl w:val="0"/>
        <w:suppressAutoHyphens/>
        <w:spacing w:after="0" w:line="240" w:lineRule="auto"/>
        <w:jc w:val="both"/>
        <w:rPr>
          <w:rFonts w:ascii="Palatino Linotype" w:eastAsia="Tahoma" w:hAnsi="Palatino Linotype" w:cs="Times New Roman"/>
          <w:sz w:val="24"/>
          <w:szCs w:val="24"/>
        </w:rPr>
      </w:pPr>
    </w:p>
    <w:p w14:paraId="4E9571F2" w14:textId="77777777" w:rsidR="00AB168B" w:rsidRPr="000376C2" w:rsidRDefault="00AB168B" w:rsidP="00AB168B">
      <w:pPr>
        <w:pStyle w:val="Akapitzlist"/>
        <w:widowControl w:val="0"/>
        <w:numPr>
          <w:ilvl w:val="0"/>
          <w:numId w:val="4"/>
        </w:numPr>
        <w:suppressAutoHyphens/>
        <w:spacing w:after="0" w:line="240" w:lineRule="auto"/>
        <w:jc w:val="both"/>
        <w:rPr>
          <w:rFonts w:ascii="Palatino Linotype" w:eastAsia="Tahoma" w:hAnsi="Palatino Linotype" w:cs="Times New Roman"/>
          <w:sz w:val="24"/>
          <w:szCs w:val="24"/>
        </w:rPr>
      </w:pPr>
      <w:r w:rsidRPr="000376C2">
        <w:rPr>
          <w:rFonts w:ascii="Palatino Linotype" w:eastAsia="Tahoma" w:hAnsi="Palatino Linotype" w:cs="Times New Roman"/>
          <w:sz w:val="24"/>
          <w:szCs w:val="24"/>
        </w:rPr>
        <w:t>Zgodnie z przepisami kodeksu cywilnego uprawnionymi do zachowku są:</w:t>
      </w:r>
    </w:p>
    <w:p w14:paraId="56413458" w14:textId="77777777" w:rsidR="00AB168B" w:rsidRPr="000376C2" w:rsidRDefault="00AB168B" w:rsidP="00AB168B">
      <w:pPr>
        <w:pStyle w:val="Style3"/>
        <w:widowControl/>
        <w:spacing w:before="24" w:line="322" w:lineRule="exact"/>
        <w:ind w:left="720" w:firstLine="0"/>
        <w:jc w:val="both"/>
        <w:rPr>
          <w:rStyle w:val="FontStyle12"/>
          <w:rFonts w:ascii="Palatino Linotype" w:hAnsi="Palatino Linotype"/>
          <w:sz w:val="24"/>
          <w:szCs w:val="24"/>
        </w:rPr>
      </w:pPr>
      <w:r w:rsidRPr="000376C2">
        <w:rPr>
          <w:rStyle w:val="FontStyle12"/>
          <w:rFonts w:ascii="Palatino Linotype" w:hAnsi="Palatino Linotype"/>
          <w:sz w:val="24"/>
          <w:szCs w:val="24"/>
        </w:rPr>
        <w:t>a/ zstępni, rodzeństwo oraz rodzice spadkodaw</w:t>
      </w:r>
      <w:r w:rsidR="007F43A0">
        <w:rPr>
          <w:rStyle w:val="FontStyle12"/>
          <w:rFonts w:ascii="Palatino Linotype" w:hAnsi="Palatino Linotype"/>
          <w:sz w:val="24"/>
          <w:szCs w:val="24"/>
        </w:rPr>
        <w:t xml:space="preserve">cy, którzy byliby powołani do </w:t>
      </w:r>
      <w:r w:rsidRPr="000376C2">
        <w:rPr>
          <w:rStyle w:val="FontStyle12"/>
          <w:rFonts w:ascii="Palatino Linotype" w:hAnsi="Palatino Linotype"/>
          <w:sz w:val="24"/>
          <w:szCs w:val="24"/>
        </w:rPr>
        <w:t>spadku z ustawy,</w:t>
      </w:r>
    </w:p>
    <w:p w14:paraId="1E81EF3C" w14:textId="77777777" w:rsidR="00077AD4" w:rsidRPr="000376C2" w:rsidRDefault="007F43A0" w:rsidP="00077AD4">
      <w:pPr>
        <w:pStyle w:val="Style7"/>
        <w:widowControl/>
        <w:ind w:left="720" w:right="91" w:firstLine="0"/>
        <w:jc w:val="both"/>
        <w:rPr>
          <w:rStyle w:val="FontStyle12"/>
          <w:rFonts w:ascii="Palatino Linotype" w:hAnsi="Palatino Linotype"/>
          <w:sz w:val="24"/>
          <w:szCs w:val="24"/>
        </w:rPr>
      </w:pPr>
      <w:r>
        <w:rPr>
          <w:rStyle w:val="FontStyle12"/>
          <w:rFonts w:ascii="Palatino Linotype" w:hAnsi="Palatino Linotype"/>
          <w:sz w:val="24"/>
          <w:szCs w:val="24"/>
        </w:rPr>
        <w:t xml:space="preserve">b/ </w:t>
      </w:r>
      <w:r w:rsidR="00AB168B" w:rsidRPr="000376C2">
        <w:rPr>
          <w:rStyle w:val="FontStyle12"/>
          <w:rFonts w:ascii="Palatino Linotype" w:hAnsi="Palatino Linotype"/>
          <w:sz w:val="24"/>
          <w:szCs w:val="24"/>
        </w:rPr>
        <w:t>zstępni, małżonek oraz rodzice spadkodawcy, którzy byliby powołani do spadku z ustawy,</w:t>
      </w:r>
    </w:p>
    <w:p w14:paraId="79C38D69" w14:textId="77777777" w:rsidR="00AB168B" w:rsidRPr="000376C2" w:rsidRDefault="00077AD4" w:rsidP="00077AD4">
      <w:pPr>
        <w:pStyle w:val="Style7"/>
        <w:widowControl/>
        <w:ind w:left="720" w:right="91" w:firstLine="0"/>
        <w:jc w:val="both"/>
        <w:rPr>
          <w:rStyle w:val="FontStyle12"/>
          <w:rFonts w:ascii="Palatino Linotype" w:hAnsi="Palatino Linotype"/>
          <w:sz w:val="24"/>
          <w:szCs w:val="24"/>
        </w:rPr>
      </w:pPr>
      <w:r w:rsidRPr="000376C2">
        <w:rPr>
          <w:rStyle w:val="FontStyle12"/>
          <w:rFonts w:ascii="Palatino Linotype" w:hAnsi="Palatino Linotype"/>
          <w:sz w:val="24"/>
          <w:szCs w:val="24"/>
        </w:rPr>
        <w:t>c/</w:t>
      </w:r>
      <w:r w:rsidR="00D17AF8">
        <w:rPr>
          <w:rStyle w:val="FontStyle12"/>
          <w:rFonts w:ascii="Palatino Linotype" w:hAnsi="Palatino Linotype"/>
          <w:sz w:val="24"/>
          <w:szCs w:val="24"/>
        </w:rPr>
        <w:t xml:space="preserve"> </w:t>
      </w:r>
      <w:r w:rsidR="00AB168B" w:rsidRPr="000376C2">
        <w:rPr>
          <w:rStyle w:val="FontStyle12"/>
          <w:rFonts w:ascii="Palatino Linotype" w:hAnsi="Palatino Linotype"/>
          <w:sz w:val="24"/>
          <w:szCs w:val="24"/>
        </w:rPr>
        <w:t>zstępni, małżonek oraz rodzeństwo spadkodawcy, którzy byliby powołani do spadku z ustaw.</w:t>
      </w:r>
    </w:p>
    <w:p w14:paraId="5E14F352" w14:textId="77777777" w:rsidR="00AB168B" w:rsidRPr="000376C2" w:rsidRDefault="00AB168B" w:rsidP="00AB168B">
      <w:pPr>
        <w:widowControl w:val="0"/>
        <w:suppressAutoHyphens/>
        <w:spacing w:after="0" w:line="240" w:lineRule="auto"/>
        <w:ind w:left="360"/>
        <w:jc w:val="both"/>
        <w:rPr>
          <w:rStyle w:val="FontStyle12"/>
          <w:rFonts w:ascii="Palatino Linotype" w:hAnsi="Palatino Linotype"/>
          <w:sz w:val="24"/>
          <w:szCs w:val="24"/>
        </w:rPr>
      </w:pPr>
    </w:p>
    <w:p w14:paraId="64C78C7E" w14:textId="77777777" w:rsidR="00AB168B" w:rsidRPr="000376C2" w:rsidRDefault="00370854" w:rsidP="00AB168B">
      <w:pPr>
        <w:pStyle w:val="Akapitzlist"/>
        <w:numPr>
          <w:ilvl w:val="0"/>
          <w:numId w:val="4"/>
        </w:numPr>
        <w:autoSpaceDE w:val="0"/>
        <w:autoSpaceDN w:val="0"/>
        <w:adjustRightInd w:val="0"/>
        <w:spacing w:before="34" w:after="0" w:line="346" w:lineRule="exact"/>
        <w:rPr>
          <w:rFonts w:ascii="Palatino Linotype" w:eastAsiaTheme="minorEastAsia" w:hAnsi="Palatino Linotype" w:cs="Garamond"/>
          <w:sz w:val="24"/>
          <w:szCs w:val="24"/>
          <w:lang w:eastAsia="pl-PL"/>
        </w:rPr>
      </w:pPr>
      <w:r>
        <w:rPr>
          <w:rFonts w:ascii="Palatino Linotype" w:eastAsiaTheme="minorEastAsia" w:hAnsi="Palatino Linotype" w:cs="Garamond"/>
          <w:sz w:val="24"/>
          <w:szCs w:val="24"/>
          <w:lang w:eastAsia="pl-PL"/>
        </w:rPr>
        <w:t>Z</w:t>
      </w:r>
      <w:r w:rsidR="00AB168B" w:rsidRPr="000376C2">
        <w:rPr>
          <w:rFonts w:ascii="Palatino Linotype" w:eastAsiaTheme="minorEastAsia" w:hAnsi="Palatino Linotype" w:cs="Garamond"/>
          <w:sz w:val="24"/>
          <w:szCs w:val="24"/>
          <w:lang w:eastAsia="pl-PL"/>
        </w:rPr>
        <w:t xml:space="preserve">godnie z przepisami kodeksu cywilnego do nabycia przez zasiedzenie własności rzeczy ruchomej: </w:t>
      </w:r>
    </w:p>
    <w:p w14:paraId="5665B9B4" w14:textId="77777777" w:rsidR="00AB168B" w:rsidRPr="000376C2" w:rsidRDefault="00AB168B" w:rsidP="00AB168B">
      <w:pPr>
        <w:pStyle w:val="Akapitzlist"/>
        <w:numPr>
          <w:ilvl w:val="0"/>
          <w:numId w:val="5"/>
        </w:numPr>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wystarczające jest wejście w jej samoistne posiadanie w dobrej wierze i posiadanie samoistne przez okres 3lat bez względu na dobrą lub złą wiarę posiadacza,</w:t>
      </w:r>
    </w:p>
    <w:p w14:paraId="179218DE" w14:textId="77777777" w:rsidR="00AB168B" w:rsidRPr="000376C2" w:rsidRDefault="00AB168B" w:rsidP="00AB168B">
      <w:pPr>
        <w:pStyle w:val="Akapitzlist"/>
        <w:numPr>
          <w:ilvl w:val="0"/>
          <w:numId w:val="5"/>
        </w:numPr>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 xml:space="preserve"> konieczne jest nieprzerwane, samoistne jej posiadanie w dobrej wierze przez okres 3 lat</w:t>
      </w:r>
      <w:r w:rsidRPr="000376C2">
        <w:rPr>
          <w:rFonts w:ascii="Palatino Linotype" w:eastAsiaTheme="minorEastAsia" w:hAnsi="Palatino Linotype" w:cs="Garamond"/>
          <w:spacing w:val="30"/>
          <w:sz w:val="24"/>
          <w:szCs w:val="24"/>
          <w:lang w:eastAsia="pl-PL"/>
        </w:rPr>
        <w:t>,</w:t>
      </w:r>
    </w:p>
    <w:p w14:paraId="5AD0B465" w14:textId="77777777" w:rsidR="00AB168B" w:rsidRPr="000376C2" w:rsidRDefault="00AB168B" w:rsidP="00AB168B">
      <w:pPr>
        <w:pStyle w:val="Akapitzlist"/>
        <w:numPr>
          <w:ilvl w:val="0"/>
          <w:numId w:val="5"/>
        </w:numPr>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wystarczające jest jej posiadanie zależne przez okres 3 lat.</w:t>
      </w:r>
    </w:p>
    <w:p w14:paraId="13A565EE" w14:textId="77777777" w:rsidR="00AB168B" w:rsidRPr="000376C2" w:rsidRDefault="00AB168B" w:rsidP="00AB168B">
      <w:pPr>
        <w:pStyle w:val="Akapitzlist"/>
        <w:autoSpaceDE w:val="0"/>
        <w:autoSpaceDN w:val="0"/>
        <w:adjustRightInd w:val="0"/>
        <w:spacing w:before="34" w:after="0" w:line="346" w:lineRule="exact"/>
        <w:ind w:left="1080"/>
        <w:rPr>
          <w:rFonts w:ascii="Palatino Linotype" w:eastAsiaTheme="minorEastAsia" w:hAnsi="Palatino Linotype" w:cs="Garamond"/>
          <w:sz w:val="24"/>
          <w:szCs w:val="24"/>
          <w:lang w:eastAsia="pl-PL"/>
        </w:rPr>
      </w:pPr>
    </w:p>
    <w:p w14:paraId="4B4409C4" w14:textId="77777777" w:rsidR="00AB168B" w:rsidRPr="000376C2" w:rsidRDefault="00AB168B" w:rsidP="00AB168B">
      <w:pPr>
        <w:pStyle w:val="Akapitzlist"/>
        <w:numPr>
          <w:ilvl w:val="0"/>
          <w:numId w:val="4"/>
        </w:numPr>
        <w:autoSpaceDE w:val="0"/>
        <w:autoSpaceDN w:val="0"/>
        <w:adjustRightInd w:val="0"/>
        <w:spacing w:before="34" w:after="0" w:line="346" w:lineRule="exact"/>
        <w:jc w:val="both"/>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Jeżeli osoba ograniczona w zdolności do czynności prawnych dokonała sama jednostronnej czynności prawnej, do której ustawa wymaga zgody przedstawiciela ustawowego:</w:t>
      </w:r>
    </w:p>
    <w:p w14:paraId="0C3787C9" w14:textId="77777777" w:rsidR="00AB168B" w:rsidRPr="000376C2" w:rsidRDefault="00AB168B" w:rsidP="00AB168B">
      <w:pPr>
        <w:pStyle w:val="Akapitzlist"/>
        <w:autoSpaceDE w:val="0"/>
        <w:autoSpaceDN w:val="0"/>
        <w:adjustRightInd w:val="0"/>
        <w:spacing w:before="34" w:after="0" w:line="346" w:lineRule="exact"/>
        <w:jc w:val="both"/>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a/ ważność   tej   czynności   jest  uzależniona  od   jej   potwierdzenia przez przedstawiciela ustawowego.</w:t>
      </w:r>
    </w:p>
    <w:p w14:paraId="4960ECDB" w14:textId="77777777" w:rsidR="00AB168B" w:rsidRPr="000376C2" w:rsidRDefault="00AB168B" w:rsidP="00AB168B">
      <w:pPr>
        <w:pStyle w:val="Akapitzlist"/>
        <w:autoSpaceDE w:val="0"/>
        <w:autoSpaceDN w:val="0"/>
        <w:adjustRightInd w:val="0"/>
        <w:spacing w:before="34" w:after="0" w:line="346" w:lineRule="exact"/>
        <w:jc w:val="both"/>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b/czynność ta jest bezwzględnie nieważna,</w:t>
      </w:r>
    </w:p>
    <w:p w14:paraId="266B684C" w14:textId="77777777" w:rsidR="00AB168B" w:rsidRDefault="00AB168B" w:rsidP="00AB168B">
      <w:pPr>
        <w:pStyle w:val="Akapitzlist"/>
        <w:autoSpaceDE w:val="0"/>
        <w:autoSpaceDN w:val="0"/>
        <w:adjustRightInd w:val="0"/>
        <w:spacing w:before="34" w:after="0" w:line="346" w:lineRule="exact"/>
        <w:jc w:val="both"/>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c/ czynność ta jest nieważna tylko wówczas, jeżeli przedstawiciel ustawowy sprzeciwi się jej dokonaniu.</w:t>
      </w:r>
    </w:p>
    <w:p w14:paraId="018D042E" w14:textId="77777777" w:rsidR="00370854" w:rsidRPr="000376C2" w:rsidRDefault="00370854" w:rsidP="00AB168B">
      <w:pPr>
        <w:pStyle w:val="Akapitzlist"/>
        <w:autoSpaceDE w:val="0"/>
        <w:autoSpaceDN w:val="0"/>
        <w:adjustRightInd w:val="0"/>
        <w:spacing w:before="34" w:after="0" w:line="346" w:lineRule="exact"/>
        <w:jc w:val="both"/>
        <w:rPr>
          <w:rFonts w:ascii="Palatino Linotype" w:eastAsiaTheme="minorEastAsia" w:hAnsi="Palatino Linotype" w:cs="Garamond"/>
          <w:sz w:val="24"/>
          <w:szCs w:val="24"/>
          <w:lang w:eastAsia="pl-PL"/>
        </w:rPr>
      </w:pPr>
    </w:p>
    <w:p w14:paraId="19E600A6" w14:textId="77777777" w:rsidR="00AB168B" w:rsidRPr="000376C2" w:rsidRDefault="005F7055" w:rsidP="00AB168B">
      <w:pPr>
        <w:pStyle w:val="Akapitzlist"/>
        <w:numPr>
          <w:ilvl w:val="0"/>
          <w:numId w:val="4"/>
        </w:numPr>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Roczny termin do dochodzenia roszczenia o ochronę naruszonego posiadania:</w:t>
      </w:r>
    </w:p>
    <w:p w14:paraId="27B3B307" w14:textId="77777777" w:rsidR="005F7055" w:rsidRPr="000376C2" w:rsidRDefault="005F7055" w:rsidP="005F7055">
      <w:pPr>
        <w:pStyle w:val="Akapitzlist"/>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a/ jest terminem zawitym, którego nie można przywrócić, powodującym wygaśnięcie roszczenia;</w:t>
      </w:r>
    </w:p>
    <w:p w14:paraId="33E7E6E7" w14:textId="77777777" w:rsidR="005F7055" w:rsidRPr="000376C2" w:rsidRDefault="005F7055" w:rsidP="005F7055">
      <w:pPr>
        <w:pStyle w:val="Akapitzlist"/>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b/ jest terminem procesowym, możliwym do przywrócenia;</w:t>
      </w:r>
    </w:p>
    <w:p w14:paraId="6291F575" w14:textId="77777777" w:rsidR="005F7055" w:rsidRDefault="005F7055" w:rsidP="005F7055">
      <w:pPr>
        <w:pStyle w:val="Akapitzlist"/>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lastRenderedPageBreak/>
        <w:t xml:space="preserve">c/ kodeks cywilny n </w:t>
      </w:r>
      <w:proofErr w:type="spellStart"/>
      <w:r w:rsidRPr="000376C2">
        <w:rPr>
          <w:rFonts w:ascii="Palatino Linotype" w:eastAsiaTheme="minorEastAsia" w:hAnsi="Palatino Linotype" w:cs="Garamond"/>
          <w:sz w:val="24"/>
          <w:szCs w:val="24"/>
          <w:lang w:eastAsia="pl-PL"/>
        </w:rPr>
        <w:t>ie</w:t>
      </w:r>
      <w:proofErr w:type="spellEnd"/>
      <w:r w:rsidRPr="000376C2">
        <w:rPr>
          <w:rFonts w:ascii="Palatino Linotype" w:eastAsiaTheme="minorEastAsia" w:hAnsi="Palatino Linotype" w:cs="Garamond"/>
          <w:sz w:val="24"/>
          <w:szCs w:val="24"/>
          <w:lang w:eastAsia="pl-PL"/>
        </w:rPr>
        <w:t xml:space="preserve"> przewiduje takiego terminu</w:t>
      </w:r>
    </w:p>
    <w:p w14:paraId="14828148" w14:textId="77777777" w:rsidR="000D348C" w:rsidRPr="000376C2" w:rsidRDefault="000D348C" w:rsidP="005F7055">
      <w:pPr>
        <w:pStyle w:val="Akapitzlist"/>
        <w:autoSpaceDE w:val="0"/>
        <w:autoSpaceDN w:val="0"/>
        <w:adjustRightInd w:val="0"/>
        <w:spacing w:before="34" w:after="0" w:line="346" w:lineRule="exact"/>
        <w:rPr>
          <w:rFonts w:ascii="Palatino Linotype" w:eastAsiaTheme="minorEastAsia" w:hAnsi="Palatino Linotype" w:cs="Garamond"/>
          <w:sz w:val="24"/>
          <w:szCs w:val="24"/>
          <w:lang w:eastAsia="pl-PL"/>
        </w:rPr>
      </w:pPr>
    </w:p>
    <w:p w14:paraId="6DA65503" w14:textId="77777777" w:rsidR="005F7055" w:rsidRPr="000376C2" w:rsidRDefault="005F7055" w:rsidP="005F7055">
      <w:pPr>
        <w:pStyle w:val="Akapitzlist"/>
        <w:numPr>
          <w:ilvl w:val="0"/>
          <w:numId w:val="4"/>
        </w:numPr>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Zgodnie z kodeksem cywilnym bezpodstawnie wzbogacony obowiązany jest do:</w:t>
      </w:r>
    </w:p>
    <w:p w14:paraId="2118343A" w14:textId="77777777" w:rsidR="005F7055" w:rsidRPr="000376C2" w:rsidRDefault="005F7055" w:rsidP="005F7055">
      <w:pPr>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a/ zapłaty odszkodowania;</w:t>
      </w:r>
    </w:p>
    <w:p w14:paraId="38984A58" w14:textId="77777777" w:rsidR="005F7055" w:rsidRPr="000376C2" w:rsidRDefault="005F7055" w:rsidP="005F7055">
      <w:pPr>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b/ wydania korzyści w naturze, a gdyby to nie było możliwe do zwrotu jej wartości;</w:t>
      </w:r>
    </w:p>
    <w:p w14:paraId="4568F16D" w14:textId="77777777" w:rsidR="005F7055" w:rsidRPr="000376C2" w:rsidRDefault="005F7055" w:rsidP="005F7055">
      <w:pPr>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c/ zapłaty zadośćuczynienia.</w:t>
      </w:r>
    </w:p>
    <w:p w14:paraId="6602CC2B" w14:textId="77777777" w:rsidR="005F7055" w:rsidRPr="000376C2" w:rsidRDefault="005F7055" w:rsidP="005F7055">
      <w:pPr>
        <w:autoSpaceDE w:val="0"/>
        <w:autoSpaceDN w:val="0"/>
        <w:adjustRightInd w:val="0"/>
        <w:spacing w:before="34" w:after="0" w:line="346" w:lineRule="exact"/>
        <w:rPr>
          <w:rFonts w:ascii="Palatino Linotype" w:eastAsiaTheme="minorEastAsia" w:hAnsi="Palatino Linotype" w:cs="Garamond"/>
          <w:sz w:val="24"/>
          <w:szCs w:val="24"/>
          <w:lang w:eastAsia="pl-PL"/>
        </w:rPr>
      </w:pPr>
    </w:p>
    <w:p w14:paraId="145F8B34" w14:textId="77777777" w:rsidR="005F7055" w:rsidRPr="000376C2" w:rsidRDefault="005F7055" w:rsidP="005F7055">
      <w:pPr>
        <w:pStyle w:val="Akapitzlist"/>
        <w:numPr>
          <w:ilvl w:val="0"/>
          <w:numId w:val="4"/>
        </w:numPr>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Źródłem solidarności zobowiązania jest:</w:t>
      </w:r>
    </w:p>
    <w:p w14:paraId="306C0DDA" w14:textId="77777777" w:rsidR="005F7055" w:rsidRPr="000376C2" w:rsidRDefault="005F7055" w:rsidP="005F7055">
      <w:pPr>
        <w:pStyle w:val="Akapitzlist"/>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a/ orzeczenie sądu lub ustawa;</w:t>
      </w:r>
    </w:p>
    <w:p w14:paraId="3C5C345E" w14:textId="77777777" w:rsidR="005F7055" w:rsidRPr="000376C2" w:rsidRDefault="005F7055" w:rsidP="005F7055">
      <w:pPr>
        <w:pStyle w:val="Akapitzlist"/>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b/ ustawa lub czynność prawna;</w:t>
      </w:r>
    </w:p>
    <w:p w14:paraId="3851E1A0" w14:textId="77777777" w:rsidR="005F7055" w:rsidRPr="000376C2" w:rsidRDefault="005F7055" w:rsidP="005F7055">
      <w:pPr>
        <w:pStyle w:val="Akapitzlist"/>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c/ orzeczenie sądu lub czynność prawna.</w:t>
      </w:r>
    </w:p>
    <w:p w14:paraId="38498B0C" w14:textId="77777777" w:rsidR="00077AD4" w:rsidRPr="000376C2" w:rsidRDefault="00077AD4" w:rsidP="005F7055">
      <w:pPr>
        <w:pStyle w:val="Akapitzlist"/>
        <w:autoSpaceDE w:val="0"/>
        <w:autoSpaceDN w:val="0"/>
        <w:adjustRightInd w:val="0"/>
        <w:spacing w:before="34" w:after="0" w:line="346" w:lineRule="exact"/>
        <w:rPr>
          <w:rFonts w:ascii="Palatino Linotype" w:eastAsiaTheme="minorEastAsia" w:hAnsi="Palatino Linotype" w:cs="Garamond"/>
          <w:sz w:val="24"/>
          <w:szCs w:val="24"/>
          <w:lang w:eastAsia="pl-PL"/>
        </w:rPr>
      </w:pPr>
    </w:p>
    <w:p w14:paraId="78680F9E" w14:textId="77777777" w:rsidR="005F7055" w:rsidRPr="000376C2" w:rsidRDefault="005F7055" w:rsidP="005F7055">
      <w:pPr>
        <w:pStyle w:val="Akapitzlist"/>
        <w:numPr>
          <w:ilvl w:val="0"/>
          <w:numId w:val="4"/>
        </w:numPr>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Sporządzić i odwołać testament może:</w:t>
      </w:r>
    </w:p>
    <w:p w14:paraId="4B2C0C72" w14:textId="77777777" w:rsidR="005F7055" w:rsidRPr="000376C2" w:rsidRDefault="005F7055" w:rsidP="005F7055">
      <w:pPr>
        <w:autoSpaceDE w:val="0"/>
        <w:autoSpaceDN w:val="0"/>
        <w:adjustRightInd w:val="0"/>
        <w:spacing w:before="34" w:after="0" w:line="346" w:lineRule="exact"/>
        <w:ind w:left="360"/>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a/ każda osoba fizyczna, przy czym osoba nieposiadająca pełnej zdolności do czynności prawnych powinna sporządzić bądź odwołać testament przez przedstawiciela ustawowego;</w:t>
      </w:r>
    </w:p>
    <w:p w14:paraId="73E6488E" w14:textId="77777777" w:rsidR="005F7055" w:rsidRPr="000376C2" w:rsidRDefault="005F7055" w:rsidP="005F7055">
      <w:pPr>
        <w:autoSpaceDE w:val="0"/>
        <w:autoSpaceDN w:val="0"/>
        <w:adjustRightInd w:val="0"/>
        <w:spacing w:before="34" w:after="0" w:line="346" w:lineRule="exact"/>
        <w:ind w:left="360"/>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b/ tylko osoba fizyczna mająca pełną zdolność do czynności prawnych;</w:t>
      </w:r>
    </w:p>
    <w:p w14:paraId="647A52F0" w14:textId="77777777" w:rsidR="005F7055" w:rsidRPr="000376C2" w:rsidRDefault="005F7055" w:rsidP="005F7055">
      <w:pPr>
        <w:autoSpaceDE w:val="0"/>
        <w:autoSpaceDN w:val="0"/>
        <w:adjustRightInd w:val="0"/>
        <w:spacing w:before="34" w:after="0" w:line="346" w:lineRule="exact"/>
        <w:ind w:left="360"/>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 xml:space="preserve">c/ każda osoba fizyczna, przy czym sporządzenie i odwołanie testamentu przez osobę nieposiadającą pełnej zdolności do czynności prawnych wymaga zachowania formy aktu notarialnego. </w:t>
      </w:r>
    </w:p>
    <w:p w14:paraId="43CCBBFF" w14:textId="77777777" w:rsidR="002C0099" w:rsidRPr="000376C2" w:rsidRDefault="002C0099" w:rsidP="005F7055">
      <w:pPr>
        <w:autoSpaceDE w:val="0"/>
        <w:autoSpaceDN w:val="0"/>
        <w:adjustRightInd w:val="0"/>
        <w:spacing w:before="34" w:after="0" w:line="346" w:lineRule="exact"/>
        <w:ind w:left="360"/>
        <w:rPr>
          <w:rFonts w:ascii="Palatino Linotype" w:eastAsiaTheme="minorEastAsia" w:hAnsi="Palatino Linotype" w:cs="Garamond"/>
          <w:sz w:val="24"/>
          <w:szCs w:val="24"/>
          <w:lang w:eastAsia="pl-PL"/>
        </w:rPr>
      </w:pPr>
    </w:p>
    <w:p w14:paraId="2054F450" w14:textId="77777777" w:rsidR="005F7055" w:rsidRPr="000376C2" w:rsidRDefault="005F7055" w:rsidP="005F7055">
      <w:pPr>
        <w:pStyle w:val="Akapitzlist"/>
        <w:numPr>
          <w:ilvl w:val="0"/>
          <w:numId w:val="4"/>
        </w:numPr>
        <w:autoSpaceDE w:val="0"/>
        <w:autoSpaceDN w:val="0"/>
        <w:adjustRightInd w:val="0"/>
        <w:spacing w:before="34" w:after="0" w:line="346" w:lineRule="exact"/>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Udział spadkowy małżonka, który dziedziczy z mocy ustawy w zbiegu z rodzicami, rodzeństwem i zstępnymi rodzeństwa spadkodawcy, wnosi:</w:t>
      </w:r>
    </w:p>
    <w:p w14:paraId="762D7042" w14:textId="77777777" w:rsidR="005F7055" w:rsidRPr="000376C2" w:rsidRDefault="005F7055" w:rsidP="005F7055">
      <w:pPr>
        <w:autoSpaceDE w:val="0"/>
        <w:autoSpaceDN w:val="0"/>
        <w:adjustRightInd w:val="0"/>
        <w:spacing w:before="34" w:after="0" w:line="346" w:lineRule="exact"/>
        <w:ind w:left="360"/>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a/ jedną czwartą część spadku;</w:t>
      </w:r>
    </w:p>
    <w:p w14:paraId="483893F4" w14:textId="77777777" w:rsidR="005F7055" w:rsidRPr="000376C2" w:rsidRDefault="005F7055" w:rsidP="005F7055">
      <w:pPr>
        <w:autoSpaceDE w:val="0"/>
        <w:autoSpaceDN w:val="0"/>
        <w:adjustRightInd w:val="0"/>
        <w:spacing w:before="34" w:after="0" w:line="346" w:lineRule="exact"/>
        <w:ind w:left="360"/>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b/ jedną trzecią część spadku;</w:t>
      </w:r>
    </w:p>
    <w:p w14:paraId="3D90DAC5" w14:textId="77777777" w:rsidR="005F7055" w:rsidRPr="000376C2" w:rsidRDefault="005F7055" w:rsidP="005F7055">
      <w:pPr>
        <w:autoSpaceDE w:val="0"/>
        <w:autoSpaceDN w:val="0"/>
        <w:adjustRightInd w:val="0"/>
        <w:spacing w:before="34" w:after="0" w:line="346" w:lineRule="exact"/>
        <w:ind w:left="360"/>
        <w:rPr>
          <w:rFonts w:ascii="Palatino Linotype" w:eastAsiaTheme="minorEastAsia" w:hAnsi="Palatino Linotype" w:cs="Garamond"/>
          <w:sz w:val="24"/>
          <w:szCs w:val="24"/>
          <w:lang w:eastAsia="pl-PL"/>
        </w:rPr>
      </w:pPr>
      <w:r w:rsidRPr="000376C2">
        <w:rPr>
          <w:rFonts w:ascii="Palatino Linotype" w:eastAsiaTheme="minorEastAsia" w:hAnsi="Palatino Linotype" w:cs="Garamond"/>
          <w:sz w:val="24"/>
          <w:szCs w:val="24"/>
          <w:lang w:eastAsia="pl-PL"/>
        </w:rPr>
        <w:t xml:space="preserve">połowę spadku. </w:t>
      </w:r>
    </w:p>
    <w:p w14:paraId="79259D51" w14:textId="77777777" w:rsidR="002C0099" w:rsidRPr="000376C2" w:rsidRDefault="002C0099" w:rsidP="005F7055">
      <w:pPr>
        <w:autoSpaceDE w:val="0"/>
        <w:autoSpaceDN w:val="0"/>
        <w:adjustRightInd w:val="0"/>
        <w:spacing w:before="34" w:after="0" w:line="346" w:lineRule="exact"/>
        <w:ind w:left="360"/>
        <w:rPr>
          <w:rFonts w:ascii="Palatino Linotype" w:eastAsiaTheme="minorEastAsia" w:hAnsi="Palatino Linotype" w:cs="Garamond"/>
          <w:sz w:val="24"/>
          <w:szCs w:val="24"/>
          <w:lang w:eastAsia="pl-PL"/>
        </w:rPr>
      </w:pPr>
    </w:p>
    <w:p w14:paraId="33111FE4" w14:textId="77777777" w:rsidR="002C0099" w:rsidRPr="000376C2" w:rsidRDefault="002C0099" w:rsidP="002C0099">
      <w:pPr>
        <w:pStyle w:val="Akapitzlist"/>
        <w:numPr>
          <w:ilvl w:val="0"/>
          <w:numId w:val="4"/>
        </w:numPr>
        <w:rPr>
          <w:rFonts w:ascii="Palatino Linotype" w:hAnsi="Palatino Linotype" w:cs="Times New Roman"/>
          <w:sz w:val="24"/>
          <w:szCs w:val="24"/>
        </w:rPr>
      </w:pPr>
      <w:r w:rsidRPr="000376C2">
        <w:rPr>
          <w:rFonts w:ascii="Palatino Linotype" w:hAnsi="Palatino Linotype" w:cs="Times New Roman"/>
          <w:sz w:val="24"/>
          <w:szCs w:val="24"/>
        </w:rPr>
        <w:t>Powództwo wzajemne można wytoczyć :</w:t>
      </w:r>
    </w:p>
    <w:p w14:paraId="33014439" w14:textId="77777777" w:rsidR="002C0099" w:rsidRPr="002C0099" w:rsidRDefault="002C0099" w:rsidP="002C0099">
      <w:pPr>
        <w:numPr>
          <w:ilvl w:val="0"/>
          <w:numId w:val="9"/>
        </w:numPr>
        <w:ind w:left="720"/>
        <w:contextualSpacing/>
        <w:jc w:val="both"/>
        <w:rPr>
          <w:rFonts w:ascii="Palatino Linotype" w:hAnsi="Palatino Linotype" w:cs="Times New Roman"/>
          <w:sz w:val="24"/>
          <w:szCs w:val="24"/>
        </w:rPr>
      </w:pPr>
      <w:r w:rsidRPr="002C0099">
        <w:rPr>
          <w:rFonts w:ascii="Palatino Linotype" w:hAnsi="Palatino Linotype" w:cs="Times New Roman"/>
          <w:sz w:val="24"/>
          <w:szCs w:val="24"/>
        </w:rPr>
        <w:t>do czasu wydania orzeczenia kończącego postępowanie przed sądem pierwszej instancji;</w:t>
      </w:r>
    </w:p>
    <w:p w14:paraId="52A302BE" w14:textId="77777777" w:rsidR="002C0099" w:rsidRPr="002C0099" w:rsidRDefault="002C0099" w:rsidP="002C0099">
      <w:pPr>
        <w:numPr>
          <w:ilvl w:val="0"/>
          <w:numId w:val="9"/>
        </w:numPr>
        <w:ind w:left="720"/>
        <w:contextualSpacing/>
        <w:jc w:val="both"/>
        <w:rPr>
          <w:rFonts w:ascii="Palatino Linotype" w:hAnsi="Palatino Linotype" w:cs="Times New Roman"/>
          <w:sz w:val="24"/>
          <w:szCs w:val="24"/>
        </w:rPr>
      </w:pPr>
      <w:r w:rsidRPr="002C0099">
        <w:rPr>
          <w:rFonts w:ascii="Palatino Linotype" w:hAnsi="Palatino Linotype" w:cs="Times New Roman"/>
          <w:sz w:val="24"/>
          <w:szCs w:val="24"/>
        </w:rPr>
        <w:t>do zamknięcia rozprawy przed sądem pierwszej instancji;</w:t>
      </w:r>
    </w:p>
    <w:p w14:paraId="52AD0A2A" w14:textId="77777777" w:rsidR="002C0099" w:rsidRPr="002C0099" w:rsidRDefault="002C0099" w:rsidP="002C0099">
      <w:pPr>
        <w:numPr>
          <w:ilvl w:val="0"/>
          <w:numId w:val="9"/>
        </w:numPr>
        <w:ind w:left="720"/>
        <w:contextualSpacing/>
        <w:jc w:val="both"/>
        <w:rPr>
          <w:rFonts w:ascii="Palatino Linotype" w:hAnsi="Palatino Linotype" w:cs="Times New Roman"/>
          <w:sz w:val="24"/>
          <w:szCs w:val="24"/>
        </w:rPr>
      </w:pPr>
      <w:r w:rsidRPr="002C0099">
        <w:rPr>
          <w:rFonts w:ascii="Palatino Linotype" w:hAnsi="Palatino Linotype" w:cs="Times New Roman"/>
          <w:sz w:val="24"/>
          <w:szCs w:val="24"/>
        </w:rPr>
        <w:t>przy rozpoczęciu pierwszego posiedzenia, na które wezwano lub o którym zawiadomiono pozwanego, jeżeli nie złożył odpowiedzi na pozew.</w:t>
      </w:r>
    </w:p>
    <w:p w14:paraId="536BD09D" w14:textId="77777777" w:rsidR="002C0099" w:rsidRPr="002C0099" w:rsidRDefault="002C0099" w:rsidP="002C0099">
      <w:pPr>
        <w:jc w:val="both"/>
        <w:rPr>
          <w:rFonts w:ascii="Palatino Linotype" w:hAnsi="Palatino Linotype" w:cs="Times New Roman"/>
          <w:sz w:val="24"/>
          <w:szCs w:val="24"/>
        </w:rPr>
      </w:pPr>
    </w:p>
    <w:p w14:paraId="6A2EEB54" w14:textId="77777777" w:rsidR="002C0099" w:rsidRPr="002C0099" w:rsidRDefault="002C0099" w:rsidP="002C0099">
      <w:pPr>
        <w:numPr>
          <w:ilvl w:val="0"/>
          <w:numId w:val="4"/>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W sprawie o alimenty wszczętej przed sądem rejonowym w czasie trwania procesu o rozwód co do świadczeń za okres od wytoczenia powództwa</w:t>
      </w:r>
      <w:r w:rsidR="00370854">
        <w:rPr>
          <w:rFonts w:ascii="Palatino Linotype" w:hAnsi="Palatino Linotype" w:cs="Times New Roman"/>
          <w:sz w:val="24"/>
          <w:szCs w:val="24"/>
        </w:rPr>
        <w:t xml:space="preserve"> o rozwód</w:t>
      </w:r>
      <w:r w:rsidRPr="002C0099">
        <w:rPr>
          <w:rFonts w:ascii="Palatino Linotype" w:hAnsi="Palatino Linotype" w:cs="Times New Roman"/>
          <w:sz w:val="24"/>
          <w:szCs w:val="24"/>
        </w:rPr>
        <w:t xml:space="preserve"> sąd rejonowy:</w:t>
      </w:r>
    </w:p>
    <w:p w14:paraId="2506DC9E" w14:textId="77777777" w:rsidR="002C0099" w:rsidRPr="002C0099" w:rsidRDefault="002C0099" w:rsidP="002C0099">
      <w:pPr>
        <w:numPr>
          <w:ilvl w:val="0"/>
          <w:numId w:val="10"/>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lastRenderedPageBreak/>
        <w:t>umorzy postępowanie;</w:t>
      </w:r>
    </w:p>
    <w:p w14:paraId="134A70D8" w14:textId="77777777" w:rsidR="002C0099" w:rsidRPr="002C0099" w:rsidRDefault="002C0099" w:rsidP="002C0099">
      <w:pPr>
        <w:numPr>
          <w:ilvl w:val="0"/>
          <w:numId w:val="10"/>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zawiesi postępowanie do czasu zakończenia postepowania o rozwód;</w:t>
      </w:r>
    </w:p>
    <w:p w14:paraId="29D7C0F9" w14:textId="77777777" w:rsidR="002C0099" w:rsidRPr="002C0099" w:rsidRDefault="002C0099" w:rsidP="002C0099">
      <w:pPr>
        <w:numPr>
          <w:ilvl w:val="0"/>
          <w:numId w:val="10"/>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przekaże sprawę sądowi okręgowemu.</w:t>
      </w:r>
    </w:p>
    <w:p w14:paraId="5512D444" w14:textId="77777777" w:rsidR="002C0099" w:rsidRPr="002C0099" w:rsidRDefault="002C0099" w:rsidP="002C0099">
      <w:pPr>
        <w:jc w:val="both"/>
        <w:rPr>
          <w:rFonts w:ascii="Palatino Linotype" w:hAnsi="Palatino Linotype" w:cs="Times New Roman"/>
          <w:sz w:val="24"/>
          <w:szCs w:val="24"/>
        </w:rPr>
      </w:pPr>
    </w:p>
    <w:p w14:paraId="4E661D4D" w14:textId="77777777" w:rsidR="002C0099" w:rsidRPr="002C0099" w:rsidRDefault="002C0099" w:rsidP="002C0099">
      <w:pPr>
        <w:numPr>
          <w:ilvl w:val="0"/>
          <w:numId w:val="4"/>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Zmiana powództwa jest niedopuszczalna:</w:t>
      </w:r>
    </w:p>
    <w:p w14:paraId="3E7F02B1" w14:textId="77777777" w:rsidR="002C0099" w:rsidRPr="002C0099" w:rsidRDefault="002C0099" w:rsidP="002C0099">
      <w:pPr>
        <w:numPr>
          <w:ilvl w:val="0"/>
          <w:numId w:val="16"/>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w postępowaniu o naruszenie posiadania;</w:t>
      </w:r>
    </w:p>
    <w:p w14:paraId="29971379" w14:textId="77777777" w:rsidR="002C0099" w:rsidRPr="002C0099" w:rsidRDefault="002C0099" w:rsidP="002C0099">
      <w:pPr>
        <w:numPr>
          <w:ilvl w:val="0"/>
          <w:numId w:val="16"/>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w postępowaniu uproszczonym;</w:t>
      </w:r>
    </w:p>
    <w:p w14:paraId="23D2D443" w14:textId="77777777" w:rsidR="002C0099" w:rsidRPr="002C0099" w:rsidRDefault="002C0099" w:rsidP="002C0099">
      <w:pPr>
        <w:numPr>
          <w:ilvl w:val="0"/>
          <w:numId w:val="16"/>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w postępowaniu apelacyjnym.</w:t>
      </w:r>
    </w:p>
    <w:p w14:paraId="6A25D6DE" w14:textId="77777777" w:rsidR="002C0099" w:rsidRPr="002C0099" w:rsidRDefault="002C0099" w:rsidP="002C0099">
      <w:pPr>
        <w:ind w:left="360"/>
        <w:jc w:val="both"/>
        <w:rPr>
          <w:rFonts w:ascii="Palatino Linotype" w:hAnsi="Palatino Linotype" w:cs="Times New Roman"/>
          <w:sz w:val="24"/>
          <w:szCs w:val="24"/>
        </w:rPr>
      </w:pPr>
    </w:p>
    <w:p w14:paraId="48B0FC42" w14:textId="77777777" w:rsidR="002C0099" w:rsidRPr="002C0099" w:rsidRDefault="002C0099" w:rsidP="002C0099">
      <w:pPr>
        <w:numPr>
          <w:ilvl w:val="0"/>
          <w:numId w:val="4"/>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W postępowaniu cywilnym nie można przedłużyć:</w:t>
      </w:r>
    </w:p>
    <w:p w14:paraId="48CA423F" w14:textId="77777777" w:rsidR="002C0099" w:rsidRPr="002C0099" w:rsidRDefault="002C0099" w:rsidP="002C0099">
      <w:pPr>
        <w:numPr>
          <w:ilvl w:val="0"/>
          <w:numId w:val="17"/>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terminu ustawowego;</w:t>
      </w:r>
    </w:p>
    <w:p w14:paraId="125C55AA" w14:textId="77777777" w:rsidR="002C0099" w:rsidRPr="002C0099" w:rsidRDefault="002C0099" w:rsidP="002C0099">
      <w:pPr>
        <w:numPr>
          <w:ilvl w:val="0"/>
          <w:numId w:val="17"/>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terminu sądowego;</w:t>
      </w:r>
    </w:p>
    <w:p w14:paraId="7B4F0803" w14:textId="77777777" w:rsidR="002C0099" w:rsidRPr="002C0099" w:rsidRDefault="002C0099" w:rsidP="002C0099">
      <w:pPr>
        <w:numPr>
          <w:ilvl w:val="0"/>
          <w:numId w:val="17"/>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obu terminów.</w:t>
      </w:r>
    </w:p>
    <w:p w14:paraId="21F35034" w14:textId="77777777" w:rsidR="002C0099" w:rsidRPr="002C0099" w:rsidRDefault="002C0099" w:rsidP="002C0099">
      <w:pPr>
        <w:ind w:left="720"/>
        <w:contextualSpacing/>
        <w:jc w:val="both"/>
        <w:rPr>
          <w:rFonts w:ascii="Palatino Linotype" w:hAnsi="Palatino Linotype" w:cs="Times New Roman"/>
          <w:sz w:val="24"/>
          <w:szCs w:val="24"/>
        </w:rPr>
      </w:pPr>
    </w:p>
    <w:p w14:paraId="0E58B123" w14:textId="77777777" w:rsidR="002C0099" w:rsidRPr="002C0099" w:rsidRDefault="002C0099" w:rsidP="002C0099">
      <w:pPr>
        <w:numPr>
          <w:ilvl w:val="0"/>
          <w:numId w:val="4"/>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Świadkiem w postępowaniu cywilnym nie może być:</w:t>
      </w:r>
    </w:p>
    <w:p w14:paraId="7B9041CF" w14:textId="77777777" w:rsidR="002C0099" w:rsidRPr="002C0099" w:rsidRDefault="002C0099" w:rsidP="002C0099">
      <w:pPr>
        <w:numPr>
          <w:ilvl w:val="0"/>
          <w:numId w:val="12"/>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ksiądz;</w:t>
      </w:r>
    </w:p>
    <w:p w14:paraId="6839A7F2" w14:textId="77777777" w:rsidR="002C0099" w:rsidRPr="002C0099" w:rsidRDefault="002C0099" w:rsidP="002C0099">
      <w:pPr>
        <w:numPr>
          <w:ilvl w:val="0"/>
          <w:numId w:val="12"/>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rozwiedziony małżonek powoda;</w:t>
      </w:r>
    </w:p>
    <w:p w14:paraId="06ECD199" w14:textId="77777777" w:rsidR="002C0099" w:rsidRDefault="002C0099" w:rsidP="002C0099">
      <w:pPr>
        <w:numPr>
          <w:ilvl w:val="0"/>
          <w:numId w:val="12"/>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przedstawiciel ustawowy małoletniego powoda.</w:t>
      </w:r>
    </w:p>
    <w:p w14:paraId="46319686" w14:textId="77777777" w:rsidR="002C0099" w:rsidRPr="002C0099" w:rsidRDefault="002C0099" w:rsidP="002C0099">
      <w:pPr>
        <w:jc w:val="both"/>
        <w:rPr>
          <w:rFonts w:ascii="Palatino Linotype" w:hAnsi="Palatino Linotype" w:cs="Times New Roman"/>
          <w:sz w:val="24"/>
          <w:szCs w:val="24"/>
        </w:rPr>
      </w:pPr>
    </w:p>
    <w:p w14:paraId="77687881" w14:textId="77777777" w:rsidR="002C0099" w:rsidRPr="002C0099" w:rsidRDefault="002C0099" w:rsidP="002C0099">
      <w:pPr>
        <w:numPr>
          <w:ilvl w:val="0"/>
          <w:numId w:val="4"/>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Nieopłacony wniosek o doręczenie orzeczenia z uzasadnieniem wniesiony w imieniu strony przez adwokata:</w:t>
      </w:r>
    </w:p>
    <w:p w14:paraId="7DE3E74B" w14:textId="77777777" w:rsidR="002C0099" w:rsidRPr="002C0099" w:rsidRDefault="002C0099" w:rsidP="002C0099">
      <w:pPr>
        <w:numPr>
          <w:ilvl w:val="0"/>
          <w:numId w:val="18"/>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podlega zwrotowi bez wzywania do uzupełnienia opłaty;</w:t>
      </w:r>
    </w:p>
    <w:p w14:paraId="2B2D20F5" w14:textId="77777777" w:rsidR="002C0099" w:rsidRPr="002C0099" w:rsidRDefault="002C0099" w:rsidP="002C0099">
      <w:pPr>
        <w:numPr>
          <w:ilvl w:val="0"/>
          <w:numId w:val="18"/>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pozostawia się w aktach bez nadania dalszego biegu, o czym zawiadamia się stronę;</w:t>
      </w:r>
    </w:p>
    <w:p w14:paraId="7D562274" w14:textId="77777777" w:rsidR="002C0099" w:rsidRPr="002C0099" w:rsidRDefault="002C0099" w:rsidP="002C0099">
      <w:pPr>
        <w:numPr>
          <w:ilvl w:val="0"/>
          <w:numId w:val="18"/>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 xml:space="preserve">podlega uzupełnieniu w trybie art. 130 Kodeksu postępowania cywilnego. </w:t>
      </w:r>
    </w:p>
    <w:p w14:paraId="6C74B8F8" w14:textId="77777777" w:rsidR="002C0099" w:rsidRPr="002C0099" w:rsidRDefault="002C0099" w:rsidP="002C0099">
      <w:pPr>
        <w:jc w:val="both"/>
        <w:rPr>
          <w:rFonts w:ascii="Palatino Linotype" w:hAnsi="Palatino Linotype" w:cs="Times New Roman"/>
          <w:sz w:val="24"/>
          <w:szCs w:val="24"/>
        </w:rPr>
      </w:pPr>
    </w:p>
    <w:p w14:paraId="54E8F39C" w14:textId="77777777" w:rsidR="002C0099" w:rsidRPr="002C0099" w:rsidRDefault="002C0099" w:rsidP="002C0099">
      <w:pPr>
        <w:numPr>
          <w:ilvl w:val="0"/>
          <w:numId w:val="4"/>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Sąd z urzędu doręcza wyrok stronie:</w:t>
      </w:r>
    </w:p>
    <w:p w14:paraId="07D688B5" w14:textId="77777777" w:rsidR="002C0099" w:rsidRPr="002C0099" w:rsidRDefault="002C0099" w:rsidP="002C0099">
      <w:pPr>
        <w:numPr>
          <w:ilvl w:val="0"/>
          <w:numId w:val="13"/>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która była nieobecna na posiedzeniu, na którym zamknię</w:t>
      </w:r>
      <w:r w:rsidR="00E23E53">
        <w:rPr>
          <w:rFonts w:ascii="Palatino Linotype" w:hAnsi="Palatino Linotype" w:cs="Times New Roman"/>
          <w:sz w:val="24"/>
          <w:szCs w:val="24"/>
        </w:rPr>
        <w:t xml:space="preserve">to rozprawę i ogłoszono wyrok oraz </w:t>
      </w:r>
      <w:r w:rsidRPr="002C0099">
        <w:rPr>
          <w:rFonts w:ascii="Palatino Linotype" w:hAnsi="Palatino Linotype" w:cs="Times New Roman"/>
          <w:sz w:val="24"/>
          <w:szCs w:val="24"/>
        </w:rPr>
        <w:t>usprawiedliwiła swoje niestawiennictwo;</w:t>
      </w:r>
    </w:p>
    <w:p w14:paraId="4C4743D9" w14:textId="77777777" w:rsidR="002C0099" w:rsidRPr="002C0099" w:rsidRDefault="002C0099" w:rsidP="002C0099">
      <w:pPr>
        <w:numPr>
          <w:ilvl w:val="0"/>
          <w:numId w:val="13"/>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 xml:space="preserve">która była nieobecna na posiedzeniu, na którym zamknięto rozprawę i ogłoszono wyrok, nie była zastępowana przez adwokata, radcę prawnego lub rzecznika patentowego </w:t>
      </w:r>
      <w:r w:rsidR="00E23E53">
        <w:rPr>
          <w:rFonts w:ascii="Palatino Linotype" w:hAnsi="Palatino Linotype" w:cs="Times New Roman"/>
          <w:sz w:val="24"/>
          <w:szCs w:val="24"/>
        </w:rPr>
        <w:t>oraz</w:t>
      </w:r>
      <w:r w:rsidRPr="002C0099">
        <w:rPr>
          <w:rFonts w:ascii="Palatino Linotype" w:hAnsi="Palatino Linotype" w:cs="Times New Roman"/>
          <w:sz w:val="24"/>
          <w:szCs w:val="24"/>
        </w:rPr>
        <w:t> usprawiedliwiła swoje niestawiennictwo;</w:t>
      </w:r>
    </w:p>
    <w:p w14:paraId="6502A93B" w14:textId="77777777" w:rsidR="002C0099" w:rsidRPr="002C0099" w:rsidRDefault="002C0099" w:rsidP="002C0099">
      <w:pPr>
        <w:numPr>
          <w:ilvl w:val="0"/>
          <w:numId w:val="13"/>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która była nieobecna na posiedzeniu, na którym zamknięto rozprawę i ogłoszono wyrok na skutek pozbawienia wolności i nie była zastępowana przez adwokata, radcę prawnego lub rzecznika patentowego.</w:t>
      </w:r>
    </w:p>
    <w:p w14:paraId="32232EA0" w14:textId="77777777" w:rsidR="002C0099" w:rsidRPr="002C0099" w:rsidRDefault="002C0099" w:rsidP="002C0099">
      <w:pPr>
        <w:jc w:val="both"/>
        <w:rPr>
          <w:rFonts w:ascii="Palatino Linotype" w:hAnsi="Palatino Linotype" w:cs="Times New Roman"/>
          <w:sz w:val="24"/>
          <w:szCs w:val="24"/>
        </w:rPr>
      </w:pPr>
    </w:p>
    <w:p w14:paraId="0AC08313" w14:textId="77777777" w:rsidR="002C0099" w:rsidRPr="002C0099" w:rsidRDefault="002C0099" w:rsidP="002C0099">
      <w:pPr>
        <w:numPr>
          <w:ilvl w:val="0"/>
          <w:numId w:val="4"/>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Na zarządzenie o zwrocie odpowiedzi na pozew:</w:t>
      </w:r>
    </w:p>
    <w:p w14:paraId="1671264E" w14:textId="77777777" w:rsidR="002C0099" w:rsidRPr="002C0099" w:rsidRDefault="002C0099" w:rsidP="002C0099">
      <w:pPr>
        <w:numPr>
          <w:ilvl w:val="0"/>
          <w:numId w:val="14"/>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lastRenderedPageBreak/>
        <w:t>przysługuje zażalenie do innego składu sądu pierwszej instancji;</w:t>
      </w:r>
    </w:p>
    <w:p w14:paraId="0DD72CDF" w14:textId="77777777" w:rsidR="002C0099" w:rsidRPr="002C0099" w:rsidRDefault="002C0099" w:rsidP="002C0099">
      <w:pPr>
        <w:numPr>
          <w:ilvl w:val="0"/>
          <w:numId w:val="14"/>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przysługuje zażalenie do sądu drugiej instancji;</w:t>
      </w:r>
    </w:p>
    <w:p w14:paraId="12E112C6" w14:textId="77777777" w:rsidR="002C0099" w:rsidRPr="002C0099" w:rsidRDefault="002C0099" w:rsidP="002C0099">
      <w:pPr>
        <w:numPr>
          <w:ilvl w:val="0"/>
          <w:numId w:val="14"/>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nie przysługuje zażalenie.</w:t>
      </w:r>
    </w:p>
    <w:p w14:paraId="5F99EC67" w14:textId="77777777" w:rsidR="002C0099" w:rsidRPr="002C0099" w:rsidRDefault="002C0099" w:rsidP="002C0099">
      <w:pPr>
        <w:jc w:val="both"/>
        <w:rPr>
          <w:rFonts w:ascii="Palatino Linotype" w:hAnsi="Palatino Linotype" w:cs="Times New Roman"/>
          <w:sz w:val="24"/>
          <w:szCs w:val="24"/>
        </w:rPr>
      </w:pPr>
    </w:p>
    <w:p w14:paraId="2F0F0748" w14:textId="77777777" w:rsidR="002C0099" w:rsidRPr="002C0099" w:rsidRDefault="002C0099" w:rsidP="002C0099">
      <w:pPr>
        <w:numPr>
          <w:ilvl w:val="0"/>
          <w:numId w:val="4"/>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Po wniesieniu zażalenia, do rozpoznania którego właściwy jest sąd drugiej instancji, sąd pierwszej instancji:</w:t>
      </w:r>
    </w:p>
    <w:p w14:paraId="6E972327" w14:textId="77777777" w:rsidR="002C0099" w:rsidRPr="002C0099" w:rsidRDefault="002C0099" w:rsidP="002C0099">
      <w:pPr>
        <w:numPr>
          <w:ilvl w:val="0"/>
          <w:numId w:val="15"/>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zawsze niezwłocznie przedstawia zażalenie wraz z aktami sądowi drugiej instancji;</w:t>
      </w:r>
    </w:p>
    <w:p w14:paraId="372C92BE" w14:textId="77777777" w:rsidR="002C0099" w:rsidRPr="002C0099" w:rsidRDefault="002C0099" w:rsidP="002C0099">
      <w:pPr>
        <w:numPr>
          <w:ilvl w:val="0"/>
          <w:numId w:val="15"/>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przed przedstawieniem zażalenia wraz z aktami sądowi drugiej instancji bada, czy zażalenie jest dopuszczalne i zostało wniesione w terminie;</w:t>
      </w:r>
    </w:p>
    <w:p w14:paraId="44065B5D" w14:textId="77777777" w:rsidR="002C0099" w:rsidRPr="002C0099" w:rsidRDefault="002C0099" w:rsidP="002C0099">
      <w:pPr>
        <w:numPr>
          <w:ilvl w:val="0"/>
          <w:numId w:val="15"/>
        </w:numPr>
        <w:contextualSpacing/>
        <w:jc w:val="both"/>
        <w:rPr>
          <w:rFonts w:ascii="Palatino Linotype" w:hAnsi="Palatino Linotype" w:cs="Times New Roman"/>
          <w:sz w:val="24"/>
          <w:szCs w:val="24"/>
        </w:rPr>
      </w:pPr>
      <w:r w:rsidRPr="002C0099">
        <w:rPr>
          <w:rFonts w:ascii="Palatino Linotype" w:hAnsi="Palatino Linotype" w:cs="Times New Roman"/>
          <w:sz w:val="24"/>
          <w:szCs w:val="24"/>
        </w:rPr>
        <w:t>przed przedstawieniem zażalenia wraz z aktami sądowi drugiej instancji bada, czy zażalenie jest dopuszczalne, zostało wniesione w terminie, jest należycie opłacone i nie zawiera braków formalnych.</w:t>
      </w:r>
    </w:p>
    <w:p w14:paraId="42EBDE8B" w14:textId="77777777" w:rsidR="002C0099" w:rsidRPr="000376C2" w:rsidRDefault="002C0099" w:rsidP="002C0099">
      <w:pPr>
        <w:pStyle w:val="Akapitzlist"/>
        <w:autoSpaceDE w:val="0"/>
        <w:autoSpaceDN w:val="0"/>
        <w:adjustRightInd w:val="0"/>
        <w:spacing w:before="34" w:after="0" w:line="346" w:lineRule="exact"/>
        <w:rPr>
          <w:rFonts w:ascii="Palatino Linotype" w:eastAsiaTheme="minorEastAsia" w:hAnsi="Palatino Linotype" w:cs="Garamond"/>
          <w:sz w:val="24"/>
          <w:szCs w:val="24"/>
          <w:lang w:eastAsia="pl-PL"/>
        </w:rPr>
      </w:pPr>
    </w:p>
    <w:p w14:paraId="6DC55994" w14:textId="77777777" w:rsidR="00AB168B" w:rsidRPr="000376C2" w:rsidRDefault="00AB168B" w:rsidP="002C0099">
      <w:pPr>
        <w:widowControl w:val="0"/>
        <w:suppressAutoHyphens/>
        <w:spacing w:after="0" w:line="240" w:lineRule="auto"/>
        <w:jc w:val="both"/>
        <w:rPr>
          <w:rFonts w:ascii="Palatino Linotype" w:eastAsia="Tahoma" w:hAnsi="Palatino Linotype" w:cs="Times New Roman"/>
          <w:sz w:val="24"/>
          <w:szCs w:val="24"/>
        </w:rPr>
      </w:pPr>
    </w:p>
    <w:p w14:paraId="470A6FDC" w14:textId="77777777" w:rsidR="00315D75" w:rsidRPr="000376C2" w:rsidRDefault="00315D75" w:rsidP="00315D75">
      <w:pPr>
        <w:widowControl w:val="0"/>
        <w:suppressAutoHyphens/>
        <w:spacing w:after="0" w:line="240" w:lineRule="auto"/>
        <w:ind w:left="720"/>
        <w:jc w:val="both"/>
        <w:rPr>
          <w:rFonts w:ascii="Palatino Linotype" w:eastAsia="Tahoma" w:hAnsi="Palatino Linotype" w:cs="Times New Roman"/>
          <w:sz w:val="24"/>
          <w:szCs w:val="24"/>
        </w:rPr>
      </w:pPr>
    </w:p>
    <w:p w14:paraId="767236BE" w14:textId="77777777" w:rsidR="00315D75" w:rsidRDefault="00315D75" w:rsidP="00315D75">
      <w:pPr>
        <w:widowControl w:val="0"/>
        <w:suppressAutoHyphens/>
        <w:spacing w:after="0" w:line="240" w:lineRule="auto"/>
        <w:ind w:left="720"/>
        <w:jc w:val="both"/>
        <w:rPr>
          <w:rFonts w:ascii="Palatino Linotype" w:eastAsia="Tahoma" w:hAnsi="Palatino Linotype" w:cs="Times New Roman"/>
          <w:sz w:val="24"/>
          <w:szCs w:val="24"/>
        </w:rPr>
      </w:pPr>
    </w:p>
    <w:p w14:paraId="16AAFF7A"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3917A6E4"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5B6A3BD0"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1585833E"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3E088B7C"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68DBE318"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56A401C2"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6CE45AD9"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0F7E1BD7"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73FEB4E2"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0D6E41A2"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59D89D52"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661838D7"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4A497914"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7FB6E075"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25CDF3CC"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690EA65C"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7210FBAC"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1093F70A"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1778F05C"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15A9B5F8"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2AB69594" w14:textId="77777777" w:rsidR="00D17AF8"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3995283B" w14:textId="77777777" w:rsidR="00D17AF8" w:rsidRPr="000376C2" w:rsidRDefault="00D17AF8" w:rsidP="00315D75">
      <w:pPr>
        <w:widowControl w:val="0"/>
        <w:suppressAutoHyphens/>
        <w:spacing w:after="0" w:line="240" w:lineRule="auto"/>
        <w:ind w:left="720"/>
        <w:jc w:val="both"/>
        <w:rPr>
          <w:rFonts w:ascii="Palatino Linotype" w:eastAsia="Tahoma" w:hAnsi="Palatino Linotype" w:cs="Times New Roman"/>
          <w:sz w:val="24"/>
          <w:szCs w:val="24"/>
        </w:rPr>
      </w:pPr>
    </w:p>
    <w:p w14:paraId="2A3534A1" w14:textId="77777777" w:rsidR="00315D75" w:rsidRPr="000376C2" w:rsidRDefault="00315D75" w:rsidP="00315D75">
      <w:pPr>
        <w:widowControl w:val="0"/>
        <w:suppressAutoHyphens/>
        <w:spacing w:after="0" w:line="240" w:lineRule="auto"/>
        <w:jc w:val="both"/>
        <w:rPr>
          <w:rFonts w:ascii="Palatino Linotype" w:eastAsia="Tahoma" w:hAnsi="Palatino Linotype" w:cs="Times New Roman"/>
          <w:sz w:val="24"/>
          <w:szCs w:val="24"/>
        </w:rPr>
      </w:pPr>
    </w:p>
    <w:p w14:paraId="5630CC1E" w14:textId="77777777" w:rsidR="00B56A86" w:rsidRPr="000376C2" w:rsidRDefault="00B56A86" w:rsidP="00315D75">
      <w:pPr>
        <w:widowControl w:val="0"/>
        <w:suppressAutoHyphens/>
        <w:spacing w:after="0" w:line="240" w:lineRule="auto"/>
        <w:jc w:val="both"/>
        <w:rPr>
          <w:rFonts w:ascii="Palatino Linotype" w:eastAsia="Tahoma" w:hAnsi="Palatino Linotype" w:cs="Times New Roman"/>
          <w:b/>
          <w:sz w:val="24"/>
          <w:szCs w:val="24"/>
          <w:u w:val="single"/>
        </w:rPr>
      </w:pPr>
      <w:r w:rsidRPr="000376C2">
        <w:rPr>
          <w:rFonts w:ascii="Palatino Linotype" w:eastAsia="Tahoma" w:hAnsi="Palatino Linotype" w:cs="Times New Roman"/>
          <w:b/>
          <w:sz w:val="24"/>
          <w:szCs w:val="24"/>
          <w:u w:val="single"/>
        </w:rPr>
        <w:lastRenderedPageBreak/>
        <w:t>Kazus 1 – prawo karne</w:t>
      </w:r>
    </w:p>
    <w:p w14:paraId="29138D9E" w14:textId="77777777" w:rsidR="00B56A86" w:rsidRPr="000376C2" w:rsidRDefault="00B56A86" w:rsidP="00315D75">
      <w:pPr>
        <w:widowControl w:val="0"/>
        <w:suppressAutoHyphens/>
        <w:spacing w:after="0" w:line="240" w:lineRule="auto"/>
        <w:ind w:left="720"/>
        <w:jc w:val="both"/>
        <w:rPr>
          <w:rFonts w:ascii="Palatino Linotype" w:eastAsia="Tahoma" w:hAnsi="Palatino Linotype" w:cs="Times New Roman"/>
          <w:sz w:val="24"/>
          <w:szCs w:val="24"/>
        </w:rPr>
      </w:pPr>
    </w:p>
    <w:p w14:paraId="6E2C9D65" w14:textId="77777777" w:rsidR="00B56A86" w:rsidRPr="000376C2" w:rsidRDefault="00B56A86" w:rsidP="00315D75">
      <w:pPr>
        <w:widowControl w:val="0"/>
        <w:suppressAutoHyphens/>
        <w:spacing w:after="0" w:line="360" w:lineRule="auto"/>
        <w:jc w:val="both"/>
        <w:rPr>
          <w:rFonts w:ascii="Palatino Linotype" w:eastAsia="Tahoma" w:hAnsi="Palatino Linotype" w:cs="Tahoma"/>
          <w:sz w:val="24"/>
          <w:szCs w:val="24"/>
        </w:rPr>
      </w:pPr>
      <w:r w:rsidRPr="000376C2">
        <w:rPr>
          <w:rFonts w:ascii="Palatino Linotype" w:eastAsia="Tahoma" w:hAnsi="Palatino Linotype" w:cs="Times New Roman"/>
          <w:sz w:val="24"/>
          <w:szCs w:val="24"/>
        </w:rPr>
        <w:tab/>
        <w:t xml:space="preserve">Jan N. został oskarżony o to, że w dniu 15 grudnia 2024 r. w miejscowości W. kierował pojazdem marki Volkswagen T4 o nr rej. …., będąc w stanie nietrzeźwości,  tj. 0,95 mg/l alkoholu w wydychanym powietrzu, tj. o przestępstwo z art. 178 a </w:t>
      </w:r>
      <w:r w:rsidRPr="000376C2">
        <w:rPr>
          <w:rFonts w:ascii="Palatino Linotype" w:eastAsia="Tahoma" w:hAnsi="Palatino Linotype" w:cs="Tahoma"/>
          <w:sz w:val="24"/>
          <w:szCs w:val="24"/>
        </w:rPr>
        <w:t>§ 1 kk. Oskarżony poruszał się w tym czasie pojazdem (posiadającym ubezpieczenie AC na kwotę 8000 złotych) swego pracodawcy, u którego zatrudniony był na ½ etatu, mając na utrzymaniu dwoje małoletnich dzieci oraz żonę, która nie pracuje.</w:t>
      </w:r>
    </w:p>
    <w:p w14:paraId="409F11F8" w14:textId="77777777" w:rsidR="00B56A86" w:rsidRPr="000376C2" w:rsidRDefault="00B56A86" w:rsidP="00B56A86">
      <w:pPr>
        <w:widowControl w:val="0"/>
        <w:suppressAutoHyphens/>
        <w:spacing w:after="0" w:line="360" w:lineRule="auto"/>
        <w:jc w:val="both"/>
        <w:rPr>
          <w:rFonts w:ascii="Palatino Linotype" w:eastAsia="Tahoma" w:hAnsi="Palatino Linotype" w:cs="Tahoma"/>
          <w:sz w:val="24"/>
          <w:szCs w:val="24"/>
        </w:rPr>
      </w:pPr>
    </w:p>
    <w:p w14:paraId="31812EB0" w14:textId="77777777" w:rsidR="00B56A86" w:rsidRPr="000376C2" w:rsidRDefault="00B56A86" w:rsidP="00B56A86">
      <w:pPr>
        <w:widowControl w:val="0"/>
        <w:suppressAutoHyphens/>
        <w:spacing w:after="0" w:line="360" w:lineRule="auto"/>
        <w:jc w:val="both"/>
        <w:rPr>
          <w:rFonts w:ascii="Palatino Linotype" w:eastAsia="Tahoma" w:hAnsi="Palatino Linotype" w:cs="Tahoma"/>
          <w:sz w:val="24"/>
          <w:szCs w:val="24"/>
        </w:rPr>
      </w:pPr>
      <w:r w:rsidRPr="000376C2">
        <w:rPr>
          <w:rFonts w:ascii="Palatino Linotype" w:eastAsia="Tahoma" w:hAnsi="Palatino Linotype" w:cs="Tahoma"/>
          <w:sz w:val="24"/>
          <w:szCs w:val="24"/>
        </w:rPr>
        <w:tab/>
        <w:t xml:space="preserve">Proszę o sporządzenie projektu orzeczenia.  </w:t>
      </w:r>
    </w:p>
    <w:p w14:paraId="43E8D660" w14:textId="77777777" w:rsidR="00B56A86" w:rsidRPr="000376C2" w:rsidRDefault="00B56A86" w:rsidP="00B56A86">
      <w:pPr>
        <w:widowControl w:val="0"/>
        <w:suppressAutoHyphens/>
        <w:spacing w:after="0" w:line="360" w:lineRule="auto"/>
        <w:jc w:val="both"/>
        <w:rPr>
          <w:rFonts w:ascii="Palatino Linotype" w:eastAsia="Tahoma" w:hAnsi="Palatino Linotype" w:cs="Tahoma"/>
          <w:b/>
          <w:sz w:val="24"/>
          <w:szCs w:val="24"/>
          <w:u w:val="single"/>
        </w:rPr>
      </w:pPr>
    </w:p>
    <w:p w14:paraId="567502CE" w14:textId="77777777" w:rsidR="00B56A86" w:rsidRPr="000376C2" w:rsidRDefault="00B56A86" w:rsidP="00B56A86">
      <w:pPr>
        <w:widowControl w:val="0"/>
        <w:suppressAutoHyphens/>
        <w:spacing w:after="0" w:line="360" w:lineRule="auto"/>
        <w:jc w:val="both"/>
        <w:rPr>
          <w:rFonts w:ascii="Palatino Linotype" w:eastAsia="Tahoma" w:hAnsi="Palatino Linotype" w:cs="Tahoma"/>
          <w:b/>
          <w:sz w:val="24"/>
          <w:szCs w:val="24"/>
          <w:u w:val="single"/>
        </w:rPr>
      </w:pPr>
      <w:r w:rsidRPr="000376C2">
        <w:rPr>
          <w:rFonts w:ascii="Palatino Linotype" w:eastAsia="Tahoma" w:hAnsi="Palatino Linotype" w:cs="Tahoma"/>
          <w:b/>
          <w:sz w:val="24"/>
          <w:szCs w:val="24"/>
          <w:u w:val="single"/>
        </w:rPr>
        <w:t>Kazus 2 – prawo cywilne</w:t>
      </w:r>
    </w:p>
    <w:p w14:paraId="61F9822F" w14:textId="77777777" w:rsidR="00B56A86" w:rsidRPr="000376C2" w:rsidRDefault="00B56A86" w:rsidP="00B56A86">
      <w:pPr>
        <w:widowControl w:val="0"/>
        <w:suppressAutoHyphens/>
        <w:spacing w:after="0" w:line="360" w:lineRule="auto"/>
        <w:jc w:val="both"/>
        <w:rPr>
          <w:rFonts w:ascii="Palatino Linotype" w:eastAsia="Tahoma" w:hAnsi="Palatino Linotype" w:cs="Times New Roman"/>
          <w:sz w:val="24"/>
          <w:szCs w:val="24"/>
        </w:rPr>
      </w:pPr>
    </w:p>
    <w:p w14:paraId="3C042DC0" w14:textId="77777777" w:rsidR="00B56A86" w:rsidRPr="000376C2" w:rsidRDefault="00ED7EFE" w:rsidP="00ED7EFE">
      <w:pPr>
        <w:widowControl w:val="0"/>
        <w:suppressAutoHyphens/>
        <w:spacing w:after="0" w:line="360" w:lineRule="auto"/>
        <w:jc w:val="both"/>
        <w:rPr>
          <w:rFonts w:ascii="Palatino Linotype" w:eastAsia="Tahoma" w:hAnsi="Palatino Linotype" w:cs="Times New Roman"/>
          <w:sz w:val="24"/>
          <w:szCs w:val="24"/>
        </w:rPr>
      </w:pPr>
      <w:r>
        <w:rPr>
          <w:rFonts w:ascii="Palatino Linotype" w:eastAsia="Tahoma" w:hAnsi="Palatino Linotype" w:cs="Times New Roman"/>
          <w:sz w:val="24"/>
          <w:szCs w:val="24"/>
        </w:rPr>
        <w:t>Zaproponuj rozstrzygnięcie dotyczące kosztów procesu i kosztów sądowych w przypadku gdy powództwo o zapłatę 30.000 zł zostało uwzględnione do kwoty 23.000 zł (a w pozostałej części oddalone). Strony były reprezentowane przez adwokatów, powód uiścił opłat</w:t>
      </w:r>
      <w:r w:rsidR="003918D9">
        <w:rPr>
          <w:rFonts w:ascii="Palatino Linotype" w:eastAsia="Tahoma" w:hAnsi="Palatino Linotype" w:cs="Times New Roman"/>
          <w:sz w:val="24"/>
          <w:szCs w:val="24"/>
        </w:rPr>
        <w:t>ę</w:t>
      </w:r>
      <w:r>
        <w:rPr>
          <w:rFonts w:ascii="Palatino Linotype" w:eastAsia="Tahoma" w:hAnsi="Palatino Linotype" w:cs="Times New Roman"/>
          <w:sz w:val="24"/>
          <w:szCs w:val="24"/>
        </w:rPr>
        <w:t xml:space="preserve"> od pozwu </w:t>
      </w:r>
      <w:r w:rsidR="003918D9">
        <w:rPr>
          <w:rFonts w:ascii="Palatino Linotype" w:eastAsia="Tahoma" w:hAnsi="Palatino Linotype" w:cs="Times New Roman"/>
          <w:sz w:val="24"/>
          <w:szCs w:val="24"/>
        </w:rPr>
        <w:t>w pełnej wysokości oraz zaliczkę</w:t>
      </w:r>
      <w:r>
        <w:rPr>
          <w:rFonts w:ascii="Palatino Linotype" w:eastAsia="Tahoma" w:hAnsi="Palatino Linotype" w:cs="Times New Roman"/>
          <w:sz w:val="24"/>
          <w:szCs w:val="24"/>
        </w:rPr>
        <w:t xml:space="preserve"> w wysokości 1000 zł</w:t>
      </w:r>
      <w:r w:rsidR="003918D9">
        <w:rPr>
          <w:rFonts w:ascii="Palatino Linotype" w:eastAsia="Tahoma" w:hAnsi="Palatino Linotype" w:cs="Times New Roman"/>
          <w:sz w:val="24"/>
          <w:szCs w:val="24"/>
        </w:rPr>
        <w:t xml:space="preserve"> na poczet wynagrodzenia biegłego</w:t>
      </w:r>
      <w:r>
        <w:rPr>
          <w:rFonts w:ascii="Palatino Linotype" w:eastAsia="Tahoma" w:hAnsi="Palatino Linotype" w:cs="Times New Roman"/>
          <w:sz w:val="24"/>
          <w:szCs w:val="24"/>
        </w:rPr>
        <w:t>. Sąd przyznał wynagrodzenie biegłemu w kwocie 1800 zł</w:t>
      </w:r>
      <w:r w:rsidR="003918D9">
        <w:rPr>
          <w:rFonts w:ascii="Palatino Linotype" w:eastAsia="Tahoma" w:hAnsi="Palatino Linotype" w:cs="Times New Roman"/>
          <w:sz w:val="24"/>
          <w:szCs w:val="24"/>
        </w:rPr>
        <w:t>,</w:t>
      </w:r>
      <w:r>
        <w:rPr>
          <w:rFonts w:ascii="Palatino Linotype" w:eastAsia="Tahoma" w:hAnsi="Palatino Linotype" w:cs="Times New Roman"/>
          <w:sz w:val="24"/>
          <w:szCs w:val="24"/>
        </w:rPr>
        <w:t xml:space="preserve"> przy czym 800 zł zostało opłacone tymczasowo z funduszu Skarbu Państwa. </w:t>
      </w:r>
    </w:p>
    <w:p w14:paraId="075BEF14" w14:textId="77777777" w:rsidR="00B56A86" w:rsidRPr="000376C2" w:rsidRDefault="00B56A86" w:rsidP="00B56A86">
      <w:pPr>
        <w:widowControl w:val="0"/>
        <w:suppressAutoHyphens/>
        <w:spacing w:after="0" w:line="240" w:lineRule="auto"/>
        <w:ind w:left="720"/>
        <w:rPr>
          <w:rFonts w:ascii="Palatino Linotype" w:eastAsia="Tahoma" w:hAnsi="Palatino Linotype" w:cs="Times New Roman"/>
          <w:sz w:val="24"/>
          <w:szCs w:val="24"/>
        </w:rPr>
      </w:pPr>
    </w:p>
    <w:p w14:paraId="6CEF7AF3" w14:textId="77777777" w:rsidR="00B56A86" w:rsidRPr="000376C2" w:rsidRDefault="00B56A86" w:rsidP="00B56A86">
      <w:pPr>
        <w:widowControl w:val="0"/>
        <w:suppressAutoHyphens/>
        <w:spacing w:after="0" w:line="240" w:lineRule="auto"/>
        <w:ind w:left="720"/>
        <w:rPr>
          <w:rFonts w:ascii="Palatino Linotype" w:eastAsia="Tahoma" w:hAnsi="Palatino Linotype" w:cs="Times New Roman"/>
          <w:sz w:val="24"/>
          <w:szCs w:val="24"/>
        </w:rPr>
      </w:pPr>
    </w:p>
    <w:p w14:paraId="3A4CAE52" w14:textId="77777777" w:rsidR="00B56A86" w:rsidRPr="000376C2" w:rsidRDefault="00B56A86" w:rsidP="00B56A86">
      <w:pPr>
        <w:widowControl w:val="0"/>
        <w:suppressAutoHyphens/>
        <w:spacing w:after="0" w:line="240" w:lineRule="auto"/>
        <w:ind w:left="720"/>
        <w:rPr>
          <w:rFonts w:ascii="Palatino Linotype" w:eastAsia="Tahoma" w:hAnsi="Palatino Linotype" w:cs="Times New Roman"/>
          <w:sz w:val="24"/>
          <w:szCs w:val="24"/>
        </w:rPr>
      </w:pPr>
    </w:p>
    <w:p w14:paraId="2AC844F3" w14:textId="77777777" w:rsidR="00B56A86" w:rsidRPr="000376C2" w:rsidRDefault="00B56A86" w:rsidP="00B56A86">
      <w:pPr>
        <w:widowControl w:val="0"/>
        <w:suppressAutoHyphens/>
        <w:spacing w:after="0" w:line="240" w:lineRule="auto"/>
        <w:ind w:left="720"/>
        <w:rPr>
          <w:rFonts w:ascii="Palatino Linotype" w:eastAsia="Tahoma" w:hAnsi="Palatino Linotype" w:cs="Times New Roman"/>
          <w:sz w:val="24"/>
          <w:szCs w:val="24"/>
        </w:rPr>
      </w:pPr>
    </w:p>
    <w:p w14:paraId="6009EADA" w14:textId="77777777" w:rsidR="00B56A86" w:rsidRPr="000376C2" w:rsidRDefault="00B56A86" w:rsidP="00B56A86">
      <w:pPr>
        <w:widowControl w:val="0"/>
        <w:suppressAutoHyphens/>
        <w:spacing w:after="0" w:line="240" w:lineRule="auto"/>
        <w:ind w:left="720"/>
        <w:rPr>
          <w:rFonts w:ascii="Palatino Linotype" w:eastAsia="Tahoma" w:hAnsi="Palatino Linotype" w:cs="Times New Roman"/>
          <w:sz w:val="24"/>
          <w:szCs w:val="24"/>
        </w:rPr>
      </w:pPr>
    </w:p>
    <w:p w14:paraId="77839F75" w14:textId="77777777" w:rsidR="00B56A86" w:rsidRPr="000376C2" w:rsidRDefault="00B56A86" w:rsidP="00B56A86">
      <w:pPr>
        <w:widowControl w:val="0"/>
        <w:suppressAutoHyphens/>
        <w:spacing w:after="0" w:line="240" w:lineRule="auto"/>
        <w:ind w:left="720"/>
        <w:rPr>
          <w:rFonts w:ascii="Palatino Linotype" w:eastAsia="Tahoma" w:hAnsi="Palatino Linotype" w:cs="Times New Roman"/>
          <w:sz w:val="24"/>
          <w:szCs w:val="24"/>
        </w:rPr>
      </w:pPr>
    </w:p>
    <w:p w14:paraId="0F894BC9" w14:textId="77777777" w:rsidR="00B56A86" w:rsidRPr="000376C2" w:rsidRDefault="00B56A86">
      <w:pPr>
        <w:rPr>
          <w:rFonts w:ascii="Palatino Linotype" w:hAnsi="Palatino Linotype"/>
          <w:sz w:val="24"/>
          <w:szCs w:val="24"/>
        </w:rPr>
      </w:pPr>
    </w:p>
    <w:sectPr w:rsidR="00B56A86" w:rsidRPr="000376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82FED"/>
    <w:multiLevelType w:val="hybridMultilevel"/>
    <w:tmpl w:val="0E646DF4"/>
    <w:lvl w:ilvl="0" w:tplc="DEC818C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9930E8E"/>
    <w:multiLevelType w:val="hybridMultilevel"/>
    <w:tmpl w:val="7E4E119A"/>
    <w:lvl w:ilvl="0" w:tplc="6C1AA8C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E157FD8"/>
    <w:multiLevelType w:val="hybridMultilevel"/>
    <w:tmpl w:val="86C01B02"/>
    <w:lvl w:ilvl="0" w:tplc="6C1AA8C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5EA5DB0"/>
    <w:multiLevelType w:val="singleLevel"/>
    <w:tmpl w:val="E3D0542A"/>
    <w:lvl w:ilvl="0">
      <w:start w:val="18"/>
      <w:numFmt w:val="decimal"/>
      <w:lvlText w:val="%1."/>
      <w:legacy w:legacy="1" w:legacySpace="0" w:legacyIndent="293"/>
      <w:lvlJc w:val="left"/>
      <w:rPr>
        <w:rFonts w:ascii="Garamond" w:hAnsi="Garamond" w:hint="default"/>
      </w:rPr>
    </w:lvl>
  </w:abstractNum>
  <w:abstractNum w:abstractNumId="4" w15:restartNumberingAfterBreak="0">
    <w:nsid w:val="163B0683"/>
    <w:multiLevelType w:val="singleLevel"/>
    <w:tmpl w:val="FCCCEAAA"/>
    <w:lvl w:ilvl="0">
      <w:start w:val="2"/>
      <w:numFmt w:val="lowerLetter"/>
      <w:lvlText w:val="%1)"/>
      <w:legacy w:legacy="1" w:legacySpace="0" w:legacyIndent="360"/>
      <w:lvlJc w:val="left"/>
      <w:rPr>
        <w:rFonts w:ascii="Garamond" w:hAnsi="Garamond" w:hint="default"/>
      </w:rPr>
    </w:lvl>
  </w:abstractNum>
  <w:abstractNum w:abstractNumId="5" w15:restartNumberingAfterBreak="0">
    <w:nsid w:val="1D2555DB"/>
    <w:multiLevelType w:val="hybridMultilevel"/>
    <w:tmpl w:val="C0B42EF6"/>
    <w:lvl w:ilvl="0" w:tplc="6C1AA8C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255B5CB5"/>
    <w:multiLevelType w:val="hybridMultilevel"/>
    <w:tmpl w:val="FFA02202"/>
    <w:lvl w:ilvl="0" w:tplc="6C1AA8C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27B75905"/>
    <w:multiLevelType w:val="hybridMultilevel"/>
    <w:tmpl w:val="69C8A058"/>
    <w:lvl w:ilvl="0" w:tplc="6C1AA8C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33F87FF6"/>
    <w:multiLevelType w:val="hybridMultilevel"/>
    <w:tmpl w:val="30020962"/>
    <w:lvl w:ilvl="0" w:tplc="6C1AA8C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3A917A0B"/>
    <w:multiLevelType w:val="hybridMultilevel"/>
    <w:tmpl w:val="BAC004EA"/>
    <w:lvl w:ilvl="0" w:tplc="6C1AA8C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42AD2AD7"/>
    <w:multiLevelType w:val="singleLevel"/>
    <w:tmpl w:val="7A48B49A"/>
    <w:lvl w:ilvl="0">
      <w:start w:val="3"/>
      <w:numFmt w:val="decimal"/>
      <w:lvlText w:val="%1."/>
      <w:legacy w:legacy="1" w:legacySpace="0" w:legacyIndent="245"/>
      <w:lvlJc w:val="left"/>
      <w:rPr>
        <w:rFonts w:ascii="Garamond" w:hAnsi="Garamond" w:hint="default"/>
      </w:rPr>
    </w:lvl>
  </w:abstractNum>
  <w:abstractNum w:abstractNumId="11" w15:restartNumberingAfterBreak="0">
    <w:nsid w:val="4CEC49D8"/>
    <w:multiLevelType w:val="hybridMultilevel"/>
    <w:tmpl w:val="322C33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01E6601"/>
    <w:multiLevelType w:val="hybridMultilevel"/>
    <w:tmpl w:val="5FA6D474"/>
    <w:lvl w:ilvl="0" w:tplc="6C1AA8C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522767FB"/>
    <w:multiLevelType w:val="hybridMultilevel"/>
    <w:tmpl w:val="5F6E8D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2734DBF"/>
    <w:multiLevelType w:val="hybridMultilevel"/>
    <w:tmpl w:val="CCF8C3B2"/>
    <w:lvl w:ilvl="0" w:tplc="BDE4648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580F083B"/>
    <w:multiLevelType w:val="hybridMultilevel"/>
    <w:tmpl w:val="22F228D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2EF338D"/>
    <w:multiLevelType w:val="singleLevel"/>
    <w:tmpl w:val="EF1ED0AA"/>
    <w:lvl w:ilvl="0">
      <w:start w:val="1"/>
      <w:numFmt w:val="decimal"/>
      <w:lvlText w:val="%1."/>
      <w:legacy w:legacy="1" w:legacySpace="0" w:legacyIndent="197"/>
      <w:lvlJc w:val="left"/>
      <w:rPr>
        <w:rFonts w:ascii="Garamond" w:hAnsi="Garamond" w:hint="default"/>
      </w:rPr>
    </w:lvl>
  </w:abstractNum>
  <w:abstractNum w:abstractNumId="17" w15:restartNumberingAfterBreak="0">
    <w:nsid w:val="68320FC4"/>
    <w:multiLevelType w:val="hybridMultilevel"/>
    <w:tmpl w:val="3294CC0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D8D7643"/>
    <w:multiLevelType w:val="hybridMultilevel"/>
    <w:tmpl w:val="9ACCF44C"/>
    <w:lvl w:ilvl="0" w:tplc="DE8C3A2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833687171">
    <w:abstractNumId w:val="16"/>
  </w:num>
  <w:num w:numId="2" w16cid:durableId="809519212">
    <w:abstractNumId w:val="10"/>
  </w:num>
  <w:num w:numId="3" w16cid:durableId="1484809953">
    <w:abstractNumId w:val="10"/>
    <w:lvlOverride w:ilvl="0">
      <w:lvl w:ilvl="0">
        <w:start w:val="3"/>
        <w:numFmt w:val="decimal"/>
        <w:lvlText w:val="%1."/>
        <w:legacy w:legacy="1" w:legacySpace="0" w:legacyIndent="254"/>
        <w:lvlJc w:val="left"/>
        <w:rPr>
          <w:rFonts w:ascii="Garamond" w:hAnsi="Garamond" w:hint="default"/>
        </w:rPr>
      </w:lvl>
    </w:lvlOverride>
  </w:num>
  <w:num w:numId="4" w16cid:durableId="337083044">
    <w:abstractNumId w:val="11"/>
  </w:num>
  <w:num w:numId="5" w16cid:durableId="582186004">
    <w:abstractNumId w:val="0"/>
  </w:num>
  <w:num w:numId="6" w16cid:durableId="962266743">
    <w:abstractNumId w:val="3"/>
  </w:num>
  <w:num w:numId="7" w16cid:durableId="313871639">
    <w:abstractNumId w:val="4"/>
  </w:num>
  <w:num w:numId="8" w16cid:durableId="1494376351">
    <w:abstractNumId w:val="13"/>
  </w:num>
  <w:num w:numId="9" w16cid:durableId="1457026246">
    <w:abstractNumId w:val="14"/>
  </w:num>
  <w:num w:numId="10" w16cid:durableId="310015314">
    <w:abstractNumId w:val="18"/>
  </w:num>
  <w:num w:numId="11" w16cid:durableId="2016224781">
    <w:abstractNumId w:val="12"/>
  </w:num>
  <w:num w:numId="12" w16cid:durableId="534736001">
    <w:abstractNumId w:val="5"/>
  </w:num>
  <w:num w:numId="13" w16cid:durableId="460348871">
    <w:abstractNumId w:val="8"/>
  </w:num>
  <w:num w:numId="14" w16cid:durableId="168372764">
    <w:abstractNumId w:val="9"/>
  </w:num>
  <w:num w:numId="15" w16cid:durableId="1627812607">
    <w:abstractNumId w:val="7"/>
  </w:num>
  <w:num w:numId="16" w16cid:durableId="208882409">
    <w:abstractNumId w:val="15"/>
  </w:num>
  <w:num w:numId="17" w16cid:durableId="1785074270">
    <w:abstractNumId w:val="17"/>
  </w:num>
  <w:num w:numId="18" w16cid:durableId="1411736684">
    <w:abstractNumId w:val="1"/>
  </w:num>
  <w:num w:numId="19" w16cid:durableId="702511207">
    <w:abstractNumId w:val="6"/>
  </w:num>
  <w:num w:numId="20" w16cid:durableId="20563943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21F"/>
    <w:rsid w:val="000376C2"/>
    <w:rsid w:val="00077AD4"/>
    <w:rsid w:val="000D348C"/>
    <w:rsid w:val="000E0314"/>
    <w:rsid w:val="002C0099"/>
    <w:rsid w:val="0030021F"/>
    <w:rsid w:val="00315D75"/>
    <w:rsid w:val="00370854"/>
    <w:rsid w:val="003918D9"/>
    <w:rsid w:val="003B7F46"/>
    <w:rsid w:val="004068FC"/>
    <w:rsid w:val="004C3F6B"/>
    <w:rsid w:val="00533133"/>
    <w:rsid w:val="005A6040"/>
    <w:rsid w:val="005F7055"/>
    <w:rsid w:val="007F43A0"/>
    <w:rsid w:val="009162E1"/>
    <w:rsid w:val="00AA57FF"/>
    <w:rsid w:val="00AB168B"/>
    <w:rsid w:val="00B56A86"/>
    <w:rsid w:val="00BF0A5C"/>
    <w:rsid w:val="00D17AF8"/>
    <w:rsid w:val="00DD2573"/>
    <w:rsid w:val="00DE7616"/>
    <w:rsid w:val="00E23E53"/>
    <w:rsid w:val="00E44DC0"/>
    <w:rsid w:val="00ED7EFE"/>
    <w:rsid w:val="00FE64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C6E56"/>
  <w15:chartTrackingRefBased/>
  <w15:docId w15:val="{1C78FB82-62F8-44F7-B69C-7EAD73586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rsid w:val="00DE7616"/>
    <w:pPr>
      <w:widowControl w:val="0"/>
      <w:autoSpaceDE w:val="0"/>
      <w:autoSpaceDN w:val="0"/>
      <w:adjustRightInd w:val="0"/>
      <w:spacing w:after="0" w:line="394" w:lineRule="exact"/>
      <w:jc w:val="center"/>
    </w:pPr>
    <w:rPr>
      <w:rFonts w:ascii="Garamond" w:eastAsiaTheme="minorEastAsia" w:hAnsi="Garamond"/>
      <w:sz w:val="24"/>
      <w:szCs w:val="24"/>
      <w:lang w:eastAsia="pl-PL"/>
    </w:rPr>
  </w:style>
  <w:style w:type="paragraph" w:customStyle="1" w:styleId="Style2">
    <w:name w:val="Style2"/>
    <w:basedOn w:val="Normalny"/>
    <w:uiPriority w:val="99"/>
    <w:rsid w:val="00DE7616"/>
    <w:pPr>
      <w:widowControl w:val="0"/>
      <w:autoSpaceDE w:val="0"/>
      <w:autoSpaceDN w:val="0"/>
      <w:adjustRightInd w:val="0"/>
      <w:spacing w:after="0" w:line="240" w:lineRule="auto"/>
    </w:pPr>
    <w:rPr>
      <w:rFonts w:ascii="Garamond" w:eastAsiaTheme="minorEastAsia" w:hAnsi="Garamond"/>
      <w:sz w:val="24"/>
      <w:szCs w:val="24"/>
      <w:lang w:eastAsia="pl-PL"/>
    </w:rPr>
  </w:style>
  <w:style w:type="character" w:customStyle="1" w:styleId="FontStyle11">
    <w:name w:val="Font Style11"/>
    <w:basedOn w:val="Domylnaczcionkaakapitu"/>
    <w:uiPriority w:val="99"/>
    <w:rsid w:val="00DE7616"/>
    <w:rPr>
      <w:rFonts w:ascii="Garamond" w:hAnsi="Garamond" w:cs="Garamond"/>
      <w:b/>
      <w:bCs/>
      <w:sz w:val="28"/>
      <w:szCs w:val="28"/>
    </w:rPr>
  </w:style>
  <w:style w:type="character" w:customStyle="1" w:styleId="FontStyle12">
    <w:name w:val="Font Style12"/>
    <w:basedOn w:val="Domylnaczcionkaakapitu"/>
    <w:uiPriority w:val="99"/>
    <w:rsid w:val="00DE7616"/>
    <w:rPr>
      <w:rFonts w:ascii="Garamond" w:hAnsi="Garamond" w:cs="Garamond"/>
      <w:sz w:val="26"/>
      <w:szCs w:val="26"/>
    </w:rPr>
  </w:style>
  <w:style w:type="character" w:customStyle="1" w:styleId="FontStyle13">
    <w:name w:val="Font Style13"/>
    <w:basedOn w:val="Domylnaczcionkaakapitu"/>
    <w:uiPriority w:val="99"/>
    <w:rsid w:val="00DE7616"/>
    <w:rPr>
      <w:rFonts w:ascii="Garamond" w:hAnsi="Garamond" w:cs="Garamond"/>
      <w:sz w:val="24"/>
      <w:szCs w:val="24"/>
    </w:rPr>
  </w:style>
  <w:style w:type="paragraph" w:customStyle="1" w:styleId="Style5">
    <w:name w:val="Style5"/>
    <w:basedOn w:val="Normalny"/>
    <w:uiPriority w:val="99"/>
    <w:rsid w:val="00DE7616"/>
    <w:pPr>
      <w:widowControl w:val="0"/>
      <w:autoSpaceDE w:val="0"/>
      <w:autoSpaceDN w:val="0"/>
      <w:adjustRightInd w:val="0"/>
      <w:spacing w:after="0" w:line="336" w:lineRule="exact"/>
      <w:jc w:val="both"/>
    </w:pPr>
    <w:rPr>
      <w:rFonts w:ascii="Garamond" w:eastAsiaTheme="minorEastAsia" w:hAnsi="Garamond"/>
      <w:sz w:val="24"/>
      <w:szCs w:val="24"/>
      <w:lang w:eastAsia="pl-PL"/>
    </w:rPr>
  </w:style>
  <w:style w:type="paragraph" w:customStyle="1" w:styleId="Style6">
    <w:name w:val="Style6"/>
    <w:basedOn w:val="Normalny"/>
    <w:uiPriority w:val="99"/>
    <w:rsid w:val="00DE7616"/>
    <w:pPr>
      <w:widowControl w:val="0"/>
      <w:autoSpaceDE w:val="0"/>
      <w:autoSpaceDN w:val="0"/>
      <w:adjustRightInd w:val="0"/>
      <w:spacing w:after="0" w:line="346" w:lineRule="exact"/>
    </w:pPr>
    <w:rPr>
      <w:rFonts w:ascii="Garamond" w:eastAsiaTheme="minorEastAsia" w:hAnsi="Garamond"/>
      <w:sz w:val="24"/>
      <w:szCs w:val="24"/>
      <w:lang w:eastAsia="pl-PL"/>
    </w:rPr>
  </w:style>
  <w:style w:type="paragraph" w:styleId="Akapitzlist">
    <w:name w:val="List Paragraph"/>
    <w:basedOn w:val="Normalny"/>
    <w:uiPriority w:val="34"/>
    <w:qFormat/>
    <w:rsid w:val="00AB168B"/>
    <w:pPr>
      <w:ind w:left="720"/>
      <w:contextualSpacing/>
    </w:pPr>
  </w:style>
  <w:style w:type="paragraph" w:customStyle="1" w:styleId="Style3">
    <w:name w:val="Style3"/>
    <w:basedOn w:val="Normalny"/>
    <w:uiPriority w:val="99"/>
    <w:rsid w:val="00AB168B"/>
    <w:pPr>
      <w:widowControl w:val="0"/>
      <w:autoSpaceDE w:val="0"/>
      <w:autoSpaceDN w:val="0"/>
      <w:adjustRightInd w:val="0"/>
      <w:spacing w:after="0" w:line="365" w:lineRule="exact"/>
      <w:ind w:hanging="341"/>
    </w:pPr>
    <w:rPr>
      <w:rFonts w:ascii="Garamond" w:eastAsiaTheme="minorEastAsia" w:hAnsi="Garamond"/>
      <w:sz w:val="24"/>
      <w:szCs w:val="24"/>
      <w:lang w:eastAsia="pl-PL"/>
    </w:rPr>
  </w:style>
  <w:style w:type="paragraph" w:customStyle="1" w:styleId="Style7">
    <w:name w:val="Style7"/>
    <w:basedOn w:val="Normalny"/>
    <w:uiPriority w:val="99"/>
    <w:rsid w:val="00AB168B"/>
    <w:pPr>
      <w:widowControl w:val="0"/>
      <w:autoSpaceDE w:val="0"/>
      <w:autoSpaceDN w:val="0"/>
      <w:adjustRightInd w:val="0"/>
      <w:spacing w:after="0" w:line="322" w:lineRule="exact"/>
      <w:ind w:hanging="446"/>
    </w:pPr>
    <w:rPr>
      <w:rFonts w:ascii="Garamond" w:eastAsiaTheme="minorEastAsia" w:hAnsi="Garamond"/>
      <w:sz w:val="24"/>
      <w:szCs w:val="24"/>
      <w:lang w:eastAsia="pl-PL"/>
    </w:rPr>
  </w:style>
  <w:style w:type="character" w:customStyle="1" w:styleId="FontStyle14">
    <w:name w:val="Font Style14"/>
    <w:basedOn w:val="Domylnaczcionkaakapitu"/>
    <w:uiPriority w:val="99"/>
    <w:rsid w:val="00AB168B"/>
    <w:rPr>
      <w:rFonts w:ascii="Garamond" w:hAnsi="Garamond" w:cs="Garamond"/>
      <w:b/>
      <w:bCs/>
      <w:w w:val="50"/>
      <w:sz w:val="38"/>
      <w:szCs w:val="38"/>
    </w:rPr>
  </w:style>
  <w:style w:type="paragraph" w:styleId="Tekstdymka">
    <w:name w:val="Balloon Text"/>
    <w:basedOn w:val="Normalny"/>
    <w:link w:val="TekstdymkaZnak"/>
    <w:uiPriority w:val="99"/>
    <w:semiHidden/>
    <w:unhideWhenUsed/>
    <w:rsid w:val="0037085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70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1981E-70B7-4D45-9C58-436CE7E88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1699</Words>
  <Characters>10200</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Ciszewska Monika</dc:creator>
  <cp:keywords/>
  <dc:description/>
  <cp:lastModifiedBy>Gutowska Magdalena</cp:lastModifiedBy>
  <cp:revision>2</cp:revision>
  <cp:lastPrinted>2025-03-17T08:02:00Z</cp:lastPrinted>
  <dcterms:created xsi:type="dcterms:W3CDTF">2026-07-20T11:42:00Z</dcterms:created>
  <dcterms:modified xsi:type="dcterms:W3CDTF">2026-07-20T11:42:00Z</dcterms:modified>
</cp:coreProperties>
</file>