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05D" w:rsidRPr="005D6799" w:rsidRDefault="00B1205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D6799">
        <w:rPr>
          <w:rFonts w:ascii="Times New Roman" w:hAnsi="Times New Roman" w:cs="Times New Roman"/>
          <w:sz w:val="28"/>
          <w:szCs w:val="28"/>
        </w:rPr>
        <w:t xml:space="preserve">Słupca, dnia 15 listopada 2024r. </w:t>
      </w:r>
    </w:p>
    <w:p w:rsidR="00B1205D" w:rsidRPr="005D6799" w:rsidRDefault="00B1205D">
      <w:pPr>
        <w:rPr>
          <w:rFonts w:ascii="Times New Roman" w:hAnsi="Times New Roman" w:cs="Times New Roman"/>
          <w:sz w:val="28"/>
          <w:szCs w:val="28"/>
        </w:rPr>
      </w:pPr>
    </w:p>
    <w:p w:rsidR="00B1205D" w:rsidRPr="005D6799" w:rsidRDefault="00B1205D">
      <w:pPr>
        <w:rPr>
          <w:rFonts w:ascii="Times New Roman" w:hAnsi="Times New Roman" w:cs="Times New Roman"/>
          <w:b/>
          <w:sz w:val="28"/>
          <w:szCs w:val="28"/>
        </w:rPr>
      </w:pPr>
      <w:r w:rsidRPr="005D6799">
        <w:rPr>
          <w:rFonts w:ascii="Times New Roman" w:hAnsi="Times New Roman" w:cs="Times New Roman"/>
          <w:b/>
          <w:sz w:val="28"/>
          <w:szCs w:val="28"/>
        </w:rPr>
        <w:t xml:space="preserve">Test dla kandydatów na stanowisko asystenta sędziego w Sądzie Rejonowym w Słupcy </w:t>
      </w:r>
    </w:p>
    <w:p w:rsidR="00842E20" w:rsidRPr="005D6799" w:rsidRDefault="00842E20">
      <w:pPr>
        <w:rPr>
          <w:rFonts w:ascii="Times New Roman" w:hAnsi="Times New Roman" w:cs="Times New Roman"/>
          <w:b/>
          <w:sz w:val="28"/>
          <w:szCs w:val="28"/>
        </w:rPr>
      </w:pPr>
    </w:p>
    <w:p w:rsidR="00842E20" w:rsidRPr="005D6799" w:rsidRDefault="00842E20">
      <w:pPr>
        <w:rPr>
          <w:rFonts w:ascii="Times New Roman" w:hAnsi="Times New Roman" w:cs="Times New Roman"/>
          <w:b/>
          <w:sz w:val="28"/>
          <w:szCs w:val="28"/>
        </w:rPr>
      </w:pPr>
      <w:r w:rsidRPr="005D6799">
        <w:rPr>
          <w:rFonts w:ascii="Times New Roman" w:hAnsi="Times New Roman" w:cs="Times New Roman"/>
          <w:b/>
          <w:sz w:val="28"/>
          <w:szCs w:val="28"/>
        </w:rPr>
        <w:t xml:space="preserve">Imię i nazwisko </w:t>
      </w:r>
    </w:p>
    <w:p w:rsidR="00842E20" w:rsidRDefault="00842E20">
      <w:pPr>
        <w:rPr>
          <w:rFonts w:ascii="Times New Roman" w:hAnsi="Times New Roman" w:cs="Times New Roman"/>
          <w:b/>
          <w:sz w:val="28"/>
          <w:szCs w:val="28"/>
        </w:rPr>
      </w:pPr>
      <w:r w:rsidRPr="005D6799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………………………………………………………………………………</w:t>
      </w:r>
    </w:p>
    <w:p w:rsidR="00BB08AE" w:rsidRPr="005D6799" w:rsidRDefault="00BB08AE">
      <w:pPr>
        <w:rPr>
          <w:rFonts w:ascii="Times New Roman" w:hAnsi="Times New Roman" w:cs="Times New Roman"/>
          <w:b/>
          <w:sz w:val="28"/>
          <w:szCs w:val="28"/>
        </w:rPr>
      </w:pPr>
    </w:p>
    <w:p w:rsidR="00842E20" w:rsidRPr="005D6799" w:rsidRDefault="00842E20">
      <w:pPr>
        <w:rPr>
          <w:rFonts w:ascii="Times New Roman" w:hAnsi="Times New Roman" w:cs="Times New Roman"/>
          <w:i/>
          <w:sz w:val="28"/>
          <w:szCs w:val="28"/>
        </w:rPr>
      </w:pPr>
      <w:r w:rsidRPr="005D6799">
        <w:rPr>
          <w:rFonts w:ascii="Times New Roman" w:hAnsi="Times New Roman" w:cs="Times New Roman"/>
          <w:i/>
          <w:sz w:val="28"/>
          <w:szCs w:val="28"/>
        </w:rPr>
        <w:t>Proszę odpowiedzieć na poniższe pytania, zaznaczając kółkiem oznaczenia literowe. Tylko jedna odpowiedź jest prawidłowa. Za każdą poprawną odpowiedź uzyskuje się jeden punkt</w:t>
      </w:r>
      <w:r w:rsidR="005D6799">
        <w:rPr>
          <w:rFonts w:ascii="Times New Roman" w:hAnsi="Times New Roman" w:cs="Times New Roman"/>
          <w:i/>
          <w:sz w:val="28"/>
          <w:szCs w:val="28"/>
        </w:rPr>
        <w:t>.</w:t>
      </w:r>
      <w:r w:rsidRPr="005D679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1205D" w:rsidRPr="005D6799" w:rsidRDefault="00B1205D">
      <w:pPr>
        <w:rPr>
          <w:rFonts w:ascii="Times New Roman" w:hAnsi="Times New Roman" w:cs="Times New Roman"/>
          <w:sz w:val="28"/>
          <w:szCs w:val="28"/>
        </w:rPr>
      </w:pPr>
    </w:p>
    <w:p w:rsidR="008955AC" w:rsidRPr="00814123" w:rsidRDefault="00775442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Zgodnie z Kodeksem postępowania karnego wydanie wyroku nakazowego jest dopuszczalne :</w:t>
      </w:r>
    </w:p>
    <w:p w:rsidR="0080796E" w:rsidRPr="0080796E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775442" w:rsidRPr="005D6799" w:rsidRDefault="00775442" w:rsidP="0080796E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w sprawie z oskarżenia prywatnego</w:t>
      </w:r>
    </w:p>
    <w:p w:rsidR="00775442" w:rsidRPr="005D6799" w:rsidRDefault="00B02D7B" w:rsidP="0080796E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gdy </w:t>
      </w:r>
      <w:r w:rsidR="00775442" w:rsidRPr="005D6799">
        <w:rPr>
          <w:rFonts w:ascii="Times New Roman" w:hAnsi="Times New Roman" w:cs="Times New Roman"/>
          <w:sz w:val="28"/>
          <w:szCs w:val="28"/>
        </w:rPr>
        <w:t xml:space="preserve">zachodzi uzasadniona wątpliwość , czy stan zdrowia psychicznego oskarżonego pozwala mu na udział w postępowaniu lub prowadzenie obrony w sposób samodzielny oraz rozsądny </w:t>
      </w:r>
    </w:p>
    <w:p w:rsidR="00775442" w:rsidRPr="005D6799" w:rsidRDefault="003F651D" w:rsidP="0080796E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gdy </w:t>
      </w:r>
      <w:r w:rsidR="00775442" w:rsidRPr="005D6799">
        <w:rPr>
          <w:rFonts w:ascii="Times New Roman" w:hAnsi="Times New Roman" w:cs="Times New Roman"/>
          <w:sz w:val="28"/>
          <w:szCs w:val="28"/>
        </w:rPr>
        <w:t xml:space="preserve">oskarżony ukończył 18 lat </w:t>
      </w:r>
    </w:p>
    <w:p w:rsidR="00775442" w:rsidRPr="005D6799" w:rsidRDefault="00775442" w:rsidP="008079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75442" w:rsidRPr="00814123" w:rsidRDefault="00775442" w:rsidP="0080796E">
      <w:pPr>
        <w:pStyle w:val="Akapitzlist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Zgodnie z Kodeksem postępowania karnego wyrokiem nakazowym nie można orzec:</w:t>
      </w:r>
    </w:p>
    <w:p w:rsidR="0080796E" w:rsidRPr="0080796E" w:rsidRDefault="0080796E" w:rsidP="0080796E">
      <w:pPr>
        <w:pStyle w:val="Akapitzlist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75442" w:rsidRPr="005D6799" w:rsidRDefault="00775442" w:rsidP="0080796E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kary ograniczenia wolności</w:t>
      </w:r>
    </w:p>
    <w:p w:rsidR="00775442" w:rsidRPr="005D6799" w:rsidRDefault="00775442" w:rsidP="0080796E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kary grzywny w wysokości do 200 stawek dziennych </w:t>
      </w:r>
    </w:p>
    <w:p w:rsidR="00775442" w:rsidRPr="005D6799" w:rsidRDefault="00775442" w:rsidP="0080796E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kary pozbawienia wolności </w:t>
      </w:r>
    </w:p>
    <w:p w:rsidR="00775442" w:rsidRPr="005D6799" w:rsidRDefault="00775442" w:rsidP="00775442">
      <w:pPr>
        <w:rPr>
          <w:rFonts w:ascii="Times New Roman" w:hAnsi="Times New Roman" w:cs="Times New Roman"/>
          <w:sz w:val="28"/>
          <w:szCs w:val="28"/>
        </w:rPr>
      </w:pPr>
    </w:p>
    <w:p w:rsidR="00775442" w:rsidRPr="00814123" w:rsidRDefault="00BF24BB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Zgodnie z kodeksem postępowania karnego, gdy oskarżony zmarł :</w:t>
      </w:r>
    </w:p>
    <w:p w:rsidR="0080796E" w:rsidRPr="0080796E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BF24BB" w:rsidRPr="005D6799" w:rsidRDefault="00BF24BB" w:rsidP="00BF24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nie wszczyna się postępowania, a wszczęte umarza</w:t>
      </w:r>
    </w:p>
    <w:p w:rsidR="00BF24BB" w:rsidRPr="005D6799" w:rsidRDefault="00BF24BB" w:rsidP="00BF24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postępowanie zawiesza się do czasu ustalenia spadkobierców</w:t>
      </w:r>
    </w:p>
    <w:p w:rsidR="00BF24BB" w:rsidRPr="005D6799" w:rsidRDefault="00BF24BB" w:rsidP="00BF24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postępowanie prowadzi się w dalszym ciągu </w:t>
      </w:r>
    </w:p>
    <w:p w:rsidR="00BF24BB" w:rsidRDefault="00BF24BB" w:rsidP="00BF24BB">
      <w:pPr>
        <w:rPr>
          <w:rFonts w:ascii="Times New Roman" w:hAnsi="Times New Roman" w:cs="Times New Roman"/>
          <w:sz w:val="28"/>
          <w:szCs w:val="28"/>
        </w:rPr>
      </w:pPr>
    </w:p>
    <w:p w:rsidR="00BB08AE" w:rsidRPr="005D6799" w:rsidRDefault="00BB08AE" w:rsidP="00BF24BB">
      <w:pPr>
        <w:rPr>
          <w:rFonts w:ascii="Times New Roman" w:hAnsi="Times New Roman" w:cs="Times New Roman"/>
          <w:sz w:val="28"/>
          <w:szCs w:val="28"/>
        </w:rPr>
      </w:pPr>
    </w:p>
    <w:p w:rsidR="00BF24BB" w:rsidRPr="00814123" w:rsidRDefault="00BF24BB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W postępowaniu karnym oskarżony nie musi mieć obrońcy, gdy:</w:t>
      </w:r>
    </w:p>
    <w:p w:rsidR="0080796E" w:rsidRPr="0080796E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BF24BB" w:rsidRPr="005D6799" w:rsidRDefault="00BF24BB" w:rsidP="00BF24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nie ukończył 18 lat</w:t>
      </w:r>
    </w:p>
    <w:p w:rsidR="00BF24BB" w:rsidRPr="005D6799" w:rsidRDefault="00BF24BB" w:rsidP="00BF24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zachodzi uzasadniona wątpliwość, czy jego zdolność rozpoznania znaczenia czynu  lub kierowania swoim postępowaniem  nie była w czasie popełnienia tego czynu wyłączona  lub w znacznym stopniu ograniczona</w:t>
      </w:r>
    </w:p>
    <w:p w:rsidR="00BF24BB" w:rsidRPr="005D6799" w:rsidRDefault="00BF24BB" w:rsidP="00BF24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nie włada w wystarczającym stopniu językiem polskim </w:t>
      </w:r>
    </w:p>
    <w:p w:rsidR="00BF24BB" w:rsidRPr="005D6799" w:rsidRDefault="00BF24BB" w:rsidP="00BF24BB">
      <w:pPr>
        <w:rPr>
          <w:rFonts w:ascii="Times New Roman" w:hAnsi="Times New Roman" w:cs="Times New Roman"/>
          <w:sz w:val="28"/>
          <w:szCs w:val="28"/>
        </w:rPr>
      </w:pPr>
    </w:p>
    <w:p w:rsidR="00BF24BB" w:rsidRPr="00814123" w:rsidRDefault="00756A2A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Zgodnie z kodeksem postępowania karnego termin do wniesienia sprzeciwu od wyroku nakazowego wynosi:</w:t>
      </w:r>
    </w:p>
    <w:p w:rsidR="0080796E" w:rsidRPr="0080796E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756A2A" w:rsidRPr="005D6799" w:rsidRDefault="00756A2A" w:rsidP="00756A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7 dni od doręczenia tego wyroku</w:t>
      </w:r>
    </w:p>
    <w:p w:rsidR="00756A2A" w:rsidRPr="005D6799" w:rsidRDefault="00756A2A" w:rsidP="00756A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7 dni od ogłoszenia wyroku</w:t>
      </w:r>
    </w:p>
    <w:p w:rsidR="00756A2A" w:rsidRPr="005D6799" w:rsidRDefault="00756A2A" w:rsidP="00756A2A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14 dni od doręczenia wyroku </w:t>
      </w:r>
    </w:p>
    <w:p w:rsidR="00756A2A" w:rsidRPr="005D6799" w:rsidRDefault="00756A2A" w:rsidP="00756A2A">
      <w:pPr>
        <w:rPr>
          <w:rFonts w:ascii="Times New Roman" w:hAnsi="Times New Roman" w:cs="Times New Roman"/>
          <w:sz w:val="28"/>
          <w:szCs w:val="28"/>
        </w:rPr>
      </w:pPr>
    </w:p>
    <w:p w:rsidR="00756A2A" w:rsidRPr="00814123" w:rsidRDefault="00756A2A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Zgodnie z kodeksem postępowania karnego jeżeli pismo nie   zawiera podpisu składającego pismo:</w:t>
      </w:r>
    </w:p>
    <w:p w:rsidR="0080796E" w:rsidRPr="0080796E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756A2A" w:rsidRPr="005D6799" w:rsidRDefault="00756A2A" w:rsidP="00756A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Wzywa się osobę</w:t>
      </w:r>
      <w:r w:rsidR="00B02D7B" w:rsidRPr="005D6799">
        <w:rPr>
          <w:rFonts w:ascii="Times New Roman" w:hAnsi="Times New Roman" w:cs="Times New Roman"/>
          <w:sz w:val="28"/>
          <w:szCs w:val="28"/>
        </w:rPr>
        <w:t>,</w:t>
      </w:r>
      <w:r w:rsidRPr="005D6799">
        <w:rPr>
          <w:rFonts w:ascii="Times New Roman" w:hAnsi="Times New Roman" w:cs="Times New Roman"/>
          <w:sz w:val="28"/>
          <w:szCs w:val="28"/>
        </w:rPr>
        <w:t xml:space="preserve"> która wniosła pismo do usunięcia braku w terminie 7 dni </w:t>
      </w:r>
    </w:p>
    <w:p w:rsidR="00756A2A" w:rsidRPr="005D6799" w:rsidRDefault="00756A2A" w:rsidP="00756A2A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Pismo pozostawia się bez rozpoznania </w:t>
      </w:r>
    </w:p>
    <w:p w:rsidR="00414603" w:rsidRPr="005D6799" w:rsidRDefault="00414603" w:rsidP="00414603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14603" w:rsidRPr="005D6799" w:rsidRDefault="00414603" w:rsidP="00414603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14603" w:rsidRPr="00814123" w:rsidRDefault="00414603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Zgodnie z Kodeksem karnym warunkowe umorzenie postępowania następuje na okres próby, który biegnie od dnia:</w:t>
      </w:r>
    </w:p>
    <w:p w:rsidR="0080796E" w:rsidRPr="0080796E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775442" w:rsidRPr="005D6799" w:rsidRDefault="00414603" w:rsidP="0041460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Popełnienia czynu przez oskarżonego </w:t>
      </w:r>
    </w:p>
    <w:p w:rsidR="00414603" w:rsidRPr="005D6799" w:rsidRDefault="00414603" w:rsidP="0041460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Wydania orzeczenia o warunkowym umorzeniu postępowania </w:t>
      </w:r>
    </w:p>
    <w:p w:rsidR="00414603" w:rsidRPr="005D6799" w:rsidRDefault="00414603" w:rsidP="0041460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uprawomocnienia się orzeczenia o warunkowym umorzeniu postępowania</w:t>
      </w:r>
    </w:p>
    <w:p w:rsidR="00414603" w:rsidRDefault="00414603" w:rsidP="00414603">
      <w:pPr>
        <w:rPr>
          <w:rFonts w:ascii="Times New Roman" w:hAnsi="Times New Roman" w:cs="Times New Roman"/>
          <w:sz w:val="28"/>
          <w:szCs w:val="28"/>
        </w:rPr>
      </w:pPr>
    </w:p>
    <w:p w:rsidR="00BB08AE" w:rsidRDefault="00BB08AE" w:rsidP="00414603">
      <w:pPr>
        <w:rPr>
          <w:rFonts w:ascii="Times New Roman" w:hAnsi="Times New Roman" w:cs="Times New Roman"/>
          <w:sz w:val="28"/>
          <w:szCs w:val="28"/>
        </w:rPr>
      </w:pPr>
    </w:p>
    <w:p w:rsidR="00BB08AE" w:rsidRDefault="00BB08AE" w:rsidP="00414603">
      <w:pPr>
        <w:rPr>
          <w:rFonts w:ascii="Times New Roman" w:hAnsi="Times New Roman" w:cs="Times New Roman"/>
          <w:sz w:val="28"/>
          <w:szCs w:val="28"/>
        </w:rPr>
      </w:pPr>
    </w:p>
    <w:p w:rsidR="00BB08AE" w:rsidRPr="005D6799" w:rsidRDefault="00BB08AE" w:rsidP="00414603">
      <w:pPr>
        <w:rPr>
          <w:rFonts w:ascii="Times New Roman" w:hAnsi="Times New Roman" w:cs="Times New Roman"/>
          <w:sz w:val="28"/>
          <w:szCs w:val="28"/>
        </w:rPr>
      </w:pPr>
    </w:p>
    <w:p w:rsidR="00414603" w:rsidRPr="00814123" w:rsidRDefault="00414603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lastRenderedPageBreak/>
        <w:t>Zgodnie z kodeksem karnym w razie skazania sprawcy za przestępstwo z art. 178a § 1 k.k.  sąd orzeka świadczenie pieniężne na rzecz Funduszu Pomocy Pokrzywdzonym oraz Pomocy Postpenitencjarnej w wysokości</w:t>
      </w:r>
      <w:r w:rsidR="0080796E" w:rsidRPr="00814123">
        <w:rPr>
          <w:rFonts w:ascii="Times New Roman" w:hAnsi="Times New Roman" w:cs="Times New Roman"/>
          <w:b/>
          <w:sz w:val="28"/>
          <w:szCs w:val="28"/>
        </w:rPr>
        <w:t>:</w:t>
      </w:r>
    </w:p>
    <w:p w:rsidR="00414603" w:rsidRPr="005D6799" w:rsidRDefault="00414603" w:rsidP="00414603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dowolnej</w:t>
      </w:r>
      <w:r w:rsidR="00B02D7B" w:rsidRPr="005D6799">
        <w:rPr>
          <w:rFonts w:ascii="Times New Roman" w:hAnsi="Times New Roman" w:cs="Times New Roman"/>
          <w:sz w:val="28"/>
          <w:szCs w:val="28"/>
        </w:rPr>
        <w:t>,</w:t>
      </w:r>
      <w:r w:rsidRPr="005D6799">
        <w:rPr>
          <w:rFonts w:ascii="Times New Roman" w:hAnsi="Times New Roman" w:cs="Times New Roman"/>
          <w:sz w:val="28"/>
          <w:szCs w:val="28"/>
        </w:rPr>
        <w:t xml:space="preserve"> ustalonej przez Sąd</w:t>
      </w:r>
    </w:p>
    <w:p w:rsidR="00414603" w:rsidRPr="005D6799" w:rsidRDefault="00414603" w:rsidP="00414603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co najmniej 5000 zł  </w:t>
      </w:r>
    </w:p>
    <w:p w:rsidR="0080796E" w:rsidRPr="005D6799" w:rsidRDefault="0080796E" w:rsidP="00775442">
      <w:pPr>
        <w:rPr>
          <w:rFonts w:ascii="Times New Roman" w:hAnsi="Times New Roman" w:cs="Times New Roman"/>
          <w:sz w:val="28"/>
          <w:szCs w:val="28"/>
        </w:rPr>
      </w:pPr>
    </w:p>
    <w:p w:rsidR="00CD5EF1" w:rsidRPr="00814123" w:rsidRDefault="00CD5EF1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Jeżeli ustawa nie stanowi inaczej, zgodnie z Kodeksem karnym kara ograniczenia wolności trwa :</w:t>
      </w:r>
    </w:p>
    <w:p w:rsidR="0080796E" w:rsidRPr="00814123" w:rsidRDefault="0080796E" w:rsidP="0080796E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:rsidR="00CD5EF1" w:rsidRPr="005D6799" w:rsidRDefault="00CD5EF1" w:rsidP="00CD5EF1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najkrócej 20 dni </w:t>
      </w:r>
    </w:p>
    <w:p w:rsidR="00CD5EF1" w:rsidRPr="005D6799" w:rsidRDefault="00CD5EF1" w:rsidP="00CD5EF1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najdłużej 2 lata </w:t>
      </w:r>
    </w:p>
    <w:p w:rsidR="00BB7443" w:rsidRPr="005D6799" w:rsidRDefault="00BB7443" w:rsidP="00BB7443">
      <w:pPr>
        <w:rPr>
          <w:rFonts w:ascii="Times New Roman" w:hAnsi="Times New Roman" w:cs="Times New Roman"/>
          <w:sz w:val="28"/>
          <w:szCs w:val="28"/>
        </w:rPr>
      </w:pPr>
    </w:p>
    <w:p w:rsidR="00BB7443" w:rsidRPr="00814123" w:rsidRDefault="00BB7443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814123">
        <w:rPr>
          <w:rFonts w:ascii="Times New Roman" w:hAnsi="Times New Roman" w:cs="Times New Roman"/>
          <w:b/>
          <w:sz w:val="28"/>
          <w:szCs w:val="28"/>
        </w:rPr>
        <w:t>Kara ograniczenia wolności polega między innymi na obowiązku wykonywania nieodpłatnej kontrolowanej pracy na cele społeczne  w wymiarze :</w:t>
      </w:r>
    </w:p>
    <w:p w:rsidR="0080796E" w:rsidRPr="0080796E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BB7443" w:rsidRPr="005D6799" w:rsidRDefault="00BB7443" w:rsidP="00BB7443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od 10 godzin do 50 godzin w stosunku miesięcznym </w:t>
      </w:r>
    </w:p>
    <w:p w:rsidR="00BB7443" w:rsidRPr="005D6799" w:rsidRDefault="00BB7443" w:rsidP="00BB7443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nie mniej niż 40 godzin w stosunku miesięcznym </w:t>
      </w:r>
    </w:p>
    <w:p w:rsidR="00BB7443" w:rsidRDefault="00BB7443" w:rsidP="00BB7443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od 20 do 40 godzin w stosunku miesięcznym </w:t>
      </w:r>
    </w:p>
    <w:p w:rsidR="0080796E" w:rsidRPr="005D6799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BB7443" w:rsidRPr="00BB08AE" w:rsidRDefault="00BB7443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>Zgodnie z kodeksem karnym w razie skazania na grzywnę zatarcie skazania następuje:</w:t>
      </w:r>
    </w:p>
    <w:p w:rsidR="0080796E" w:rsidRPr="0080796E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BB7443" w:rsidRPr="005D6799" w:rsidRDefault="00BB7443" w:rsidP="00BB7443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na wniosek skazanego po upływie 2 miesięcy od dnia wykonania kary </w:t>
      </w:r>
    </w:p>
    <w:p w:rsidR="00BB7443" w:rsidRPr="005D6799" w:rsidRDefault="00BB7443" w:rsidP="00BB7443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z mocy prawa z upływem roku od wykonania lub darowania kary </w:t>
      </w:r>
    </w:p>
    <w:p w:rsidR="00BB7443" w:rsidRPr="005D6799" w:rsidRDefault="00BB7443" w:rsidP="00BB7443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z mocy prawa z upływem 10 lat od wykonania lub darowania kary </w:t>
      </w:r>
    </w:p>
    <w:p w:rsidR="00B02D7B" w:rsidRPr="005D6799" w:rsidRDefault="00B02D7B" w:rsidP="00BB7443">
      <w:pPr>
        <w:rPr>
          <w:rFonts w:ascii="Times New Roman" w:hAnsi="Times New Roman" w:cs="Times New Roman"/>
          <w:sz w:val="28"/>
          <w:szCs w:val="28"/>
        </w:rPr>
      </w:pPr>
    </w:p>
    <w:p w:rsidR="00BB7443" w:rsidRPr="00BB08AE" w:rsidRDefault="00BB7443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>Stan nietrzeźwości w rozumieniu kodeksu karnego   zachodzi, gdy</w:t>
      </w:r>
      <w:r w:rsidR="006733ED" w:rsidRPr="00BB08AE">
        <w:rPr>
          <w:rFonts w:ascii="Times New Roman" w:hAnsi="Times New Roman" w:cs="Times New Roman"/>
          <w:b/>
          <w:sz w:val="28"/>
          <w:szCs w:val="28"/>
        </w:rPr>
        <w:t>:</w:t>
      </w:r>
    </w:p>
    <w:p w:rsidR="006733ED" w:rsidRPr="0080796E" w:rsidRDefault="006733ED" w:rsidP="006733ED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F3427A" w:rsidRPr="005D6799" w:rsidRDefault="00BB7443" w:rsidP="00BB7443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zawartość alkoholu w</w:t>
      </w:r>
      <w:r w:rsidR="00F3427A" w:rsidRPr="005D6799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F3427A" w:rsidRPr="005D6799">
        <w:rPr>
          <w:rFonts w:ascii="Times New Roman" w:hAnsi="Times New Roman" w:cs="Times New Roman"/>
          <w:sz w:val="28"/>
          <w:szCs w:val="28"/>
        </w:rPr>
        <w:t>dm</w:t>
      </w:r>
      <w:proofErr w:type="spellEnd"/>
      <w:r w:rsidR="00F3427A" w:rsidRPr="005D6799">
        <w:rPr>
          <w:rFonts w:ascii="Times New Roman" w:hAnsi="Times New Roman" w:cs="Times New Roman"/>
          <w:sz w:val="28"/>
          <w:szCs w:val="28"/>
        </w:rPr>
        <w:t xml:space="preserve"> </w:t>
      </w:r>
      <w:r w:rsidR="00F3427A" w:rsidRPr="005D6799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="00F3427A" w:rsidRPr="005D6799">
        <w:rPr>
          <w:rFonts w:ascii="Times New Roman" w:hAnsi="Times New Roman" w:cs="Times New Roman"/>
          <w:sz w:val="28"/>
          <w:szCs w:val="28"/>
        </w:rPr>
        <w:t xml:space="preserve"> wydychanego powietrza przekracza 0,25 mg </w:t>
      </w:r>
    </w:p>
    <w:p w:rsidR="00F3427A" w:rsidRPr="005D6799" w:rsidRDefault="00F3427A" w:rsidP="00BB7443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zawartość alkoholu we krwi </w:t>
      </w:r>
      <w:r w:rsidR="00B02D7B" w:rsidRPr="005D6799">
        <w:rPr>
          <w:rFonts w:ascii="Times New Roman" w:hAnsi="Times New Roman" w:cs="Times New Roman"/>
          <w:sz w:val="28"/>
          <w:szCs w:val="28"/>
        </w:rPr>
        <w:t xml:space="preserve">nie </w:t>
      </w:r>
      <w:r w:rsidRPr="005D6799">
        <w:rPr>
          <w:rFonts w:ascii="Times New Roman" w:hAnsi="Times New Roman" w:cs="Times New Roman"/>
          <w:sz w:val="28"/>
          <w:szCs w:val="28"/>
        </w:rPr>
        <w:t xml:space="preserve">przekracza 0,5 promila </w:t>
      </w:r>
    </w:p>
    <w:p w:rsidR="00BB7443" w:rsidRPr="005D6799" w:rsidRDefault="00F3427A" w:rsidP="00BB7443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zawartość alkoholu</w:t>
      </w:r>
      <w:r w:rsidR="00B02D7B" w:rsidRPr="005D6799">
        <w:rPr>
          <w:rFonts w:ascii="Times New Roman" w:hAnsi="Times New Roman" w:cs="Times New Roman"/>
          <w:sz w:val="28"/>
          <w:szCs w:val="28"/>
        </w:rPr>
        <w:t xml:space="preserve"> w 1 </w:t>
      </w:r>
      <w:proofErr w:type="spellStart"/>
      <w:r w:rsidR="00B02D7B" w:rsidRPr="005D6799">
        <w:rPr>
          <w:rFonts w:ascii="Times New Roman" w:hAnsi="Times New Roman" w:cs="Times New Roman"/>
          <w:sz w:val="28"/>
          <w:szCs w:val="28"/>
        </w:rPr>
        <w:t>dm</w:t>
      </w:r>
      <w:proofErr w:type="spellEnd"/>
      <w:r w:rsidR="00B02D7B" w:rsidRPr="005D6799">
        <w:rPr>
          <w:rFonts w:ascii="Times New Roman" w:hAnsi="Times New Roman" w:cs="Times New Roman"/>
          <w:sz w:val="28"/>
          <w:szCs w:val="28"/>
        </w:rPr>
        <w:t xml:space="preserve"> </w:t>
      </w:r>
      <w:r w:rsidR="00B02D7B" w:rsidRPr="005D6799">
        <w:rPr>
          <w:rFonts w:ascii="Times New Roman" w:hAnsi="Times New Roman" w:cs="Times New Roman"/>
          <w:sz w:val="28"/>
          <w:szCs w:val="28"/>
          <w:vertAlign w:val="superscript"/>
        </w:rPr>
        <w:t xml:space="preserve">3  </w:t>
      </w:r>
      <w:r w:rsidR="00B02D7B" w:rsidRPr="005D6799">
        <w:rPr>
          <w:rFonts w:ascii="Times New Roman" w:hAnsi="Times New Roman" w:cs="Times New Roman"/>
          <w:sz w:val="28"/>
          <w:szCs w:val="28"/>
        </w:rPr>
        <w:t xml:space="preserve">wydychanego powietrza </w:t>
      </w:r>
      <w:r w:rsidRPr="005D6799">
        <w:rPr>
          <w:rFonts w:ascii="Times New Roman" w:hAnsi="Times New Roman" w:cs="Times New Roman"/>
          <w:sz w:val="28"/>
          <w:szCs w:val="28"/>
        </w:rPr>
        <w:t>wynosi 0,</w:t>
      </w:r>
      <w:r w:rsidR="00B02D7B" w:rsidRPr="005D6799">
        <w:rPr>
          <w:rFonts w:ascii="Times New Roman" w:hAnsi="Times New Roman" w:cs="Times New Roman"/>
          <w:sz w:val="28"/>
          <w:szCs w:val="28"/>
        </w:rPr>
        <w:t xml:space="preserve">15 mg </w:t>
      </w:r>
      <w:r w:rsidRPr="005D6799">
        <w:rPr>
          <w:rFonts w:ascii="Times New Roman" w:hAnsi="Times New Roman" w:cs="Times New Roman"/>
          <w:sz w:val="28"/>
          <w:szCs w:val="28"/>
        </w:rPr>
        <w:t xml:space="preserve"> </w:t>
      </w:r>
      <w:r w:rsidR="00BB7443" w:rsidRPr="005D67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0DEA" w:rsidRPr="005D6799" w:rsidRDefault="00050DEA" w:rsidP="00050DEA">
      <w:pPr>
        <w:rPr>
          <w:rFonts w:ascii="Times New Roman" w:hAnsi="Times New Roman" w:cs="Times New Roman"/>
          <w:sz w:val="28"/>
          <w:szCs w:val="28"/>
        </w:rPr>
      </w:pPr>
    </w:p>
    <w:p w:rsidR="00050DEA" w:rsidRPr="00BB08AE" w:rsidRDefault="00050DEA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lastRenderedPageBreak/>
        <w:t>Młodocianym w świetle przepisów kodeksu karnego jest sprawca, który :</w:t>
      </w:r>
    </w:p>
    <w:p w:rsidR="006733ED" w:rsidRPr="0080796E" w:rsidRDefault="006733ED" w:rsidP="006733ED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050DEA" w:rsidRPr="005D6799" w:rsidRDefault="00050DEA" w:rsidP="00050DE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w chwili popełnienia czynu zabronionego nie ukończył 21 lat i w czasie orzekania w pierwszej instancji 24 lata </w:t>
      </w:r>
    </w:p>
    <w:p w:rsidR="00050DEA" w:rsidRPr="005D6799" w:rsidRDefault="00050DEA" w:rsidP="00050DEA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w chwili popełnienia czynu zabronionego nie ukończył 18 lat niezależnie od tego ile lat ma w czasie orzekania w pierwszej instancji </w:t>
      </w:r>
    </w:p>
    <w:p w:rsidR="005D6799" w:rsidRDefault="00050DEA" w:rsidP="0077544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w chwili popełnienia czynu zabronionego nie ukończył 17 lat </w:t>
      </w:r>
      <w:r w:rsidR="00B02D7B" w:rsidRPr="005D6799">
        <w:rPr>
          <w:rFonts w:ascii="Times New Roman" w:hAnsi="Times New Roman" w:cs="Times New Roman"/>
          <w:sz w:val="28"/>
          <w:szCs w:val="28"/>
        </w:rPr>
        <w:t xml:space="preserve">niezależnie od tego ile lat ma w czasie orzekania w pierwszej instancji </w:t>
      </w:r>
    </w:p>
    <w:p w:rsidR="0080796E" w:rsidRPr="006733ED" w:rsidRDefault="0080796E" w:rsidP="006733ED">
      <w:pPr>
        <w:rPr>
          <w:rFonts w:ascii="Times New Roman" w:hAnsi="Times New Roman" w:cs="Times New Roman"/>
          <w:sz w:val="28"/>
          <w:szCs w:val="28"/>
        </w:rPr>
      </w:pPr>
    </w:p>
    <w:p w:rsidR="004A7329" w:rsidRPr="00BB08AE" w:rsidRDefault="002A2F4B" w:rsidP="00BB08AE">
      <w:pPr>
        <w:pStyle w:val="Akapitzlist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 xml:space="preserve">Zgodnie z kodeksem postępowania karnego, jeżeli zachodzi długotrwała przeszkoda </w:t>
      </w:r>
      <w:r w:rsidR="004A7329" w:rsidRPr="00BB08AE">
        <w:rPr>
          <w:rFonts w:ascii="Times New Roman" w:hAnsi="Times New Roman" w:cs="Times New Roman"/>
          <w:b/>
          <w:sz w:val="28"/>
          <w:szCs w:val="28"/>
        </w:rPr>
        <w:t>uniemożliwiająca prowadzenie postępowania postępowanie:</w:t>
      </w:r>
    </w:p>
    <w:p w:rsidR="006733ED" w:rsidRPr="0080796E" w:rsidRDefault="006733ED" w:rsidP="006733ED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A7329" w:rsidRPr="005D6799" w:rsidRDefault="004A7329" w:rsidP="004A7329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zawiesza się na okres 1 roku</w:t>
      </w:r>
    </w:p>
    <w:p w:rsidR="004A7329" w:rsidRPr="005D6799" w:rsidRDefault="004A7329" w:rsidP="004A7329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 umarza się </w:t>
      </w:r>
    </w:p>
    <w:p w:rsidR="004A7329" w:rsidRDefault="004A7329" w:rsidP="004A7329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zawiesza się na czas trwania przeszkody </w:t>
      </w:r>
    </w:p>
    <w:p w:rsidR="0080796E" w:rsidRPr="005D6799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67395F" w:rsidRPr="00BB08AE" w:rsidRDefault="0067395F" w:rsidP="00BB08AE">
      <w:pPr>
        <w:pStyle w:val="Akapitzlist"/>
        <w:numPr>
          <w:ilvl w:val="0"/>
          <w:numId w:val="3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>Zgodnie z kodeksem karnym, jeżeli przestępstwo jest zagrożone tylko karą pozbawienia wolności nieprzekraczającą 8 lat, a wymierzona za nie kara pozbawienia wolności nie byłaby surowsz</w:t>
      </w:r>
      <w:r w:rsidR="00B02D7B" w:rsidRPr="00BB08AE">
        <w:rPr>
          <w:rFonts w:ascii="Times New Roman" w:hAnsi="Times New Roman" w:cs="Times New Roman"/>
          <w:b/>
          <w:sz w:val="28"/>
          <w:szCs w:val="28"/>
        </w:rPr>
        <w:t>a</w:t>
      </w:r>
      <w:r w:rsidRPr="00BB08AE">
        <w:rPr>
          <w:rFonts w:ascii="Times New Roman" w:hAnsi="Times New Roman" w:cs="Times New Roman"/>
          <w:b/>
          <w:sz w:val="28"/>
          <w:szCs w:val="28"/>
        </w:rPr>
        <w:t xml:space="preserve"> od r</w:t>
      </w:r>
      <w:r w:rsidR="000B7710" w:rsidRPr="00BB08AE">
        <w:rPr>
          <w:rFonts w:ascii="Times New Roman" w:hAnsi="Times New Roman" w:cs="Times New Roman"/>
          <w:b/>
          <w:sz w:val="28"/>
          <w:szCs w:val="28"/>
        </w:rPr>
        <w:t>o</w:t>
      </w:r>
      <w:r w:rsidRPr="00BB08AE">
        <w:rPr>
          <w:rFonts w:ascii="Times New Roman" w:hAnsi="Times New Roman" w:cs="Times New Roman"/>
          <w:b/>
          <w:sz w:val="28"/>
          <w:szCs w:val="28"/>
        </w:rPr>
        <w:t>ku sąd może zamiast tej kary orzec :</w:t>
      </w:r>
    </w:p>
    <w:p w:rsidR="006733ED" w:rsidRPr="0080796E" w:rsidRDefault="006733ED" w:rsidP="006733ED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67395F" w:rsidRPr="005D6799" w:rsidRDefault="0067395F" w:rsidP="0067395F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 </w:t>
      </w:r>
      <w:r w:rsidR="000B7710" w:rsidRPr="005D6799">
        <w:rPr>
          <w:rFonts w:ascii="Times New Roman" w:hAnsi="Times New Roman" w:cs="Times New Roman"/>
          <w:sz w:val="28"/>
          <w:szCs w:val="28"/>
        </w:rPr>
        <w:t xml:space="preserve">karę </w:t>
      </w:r>
      <w:r w:rsidRPr="005D6799">
        <w:rPr>
          <w:rFonts w:ascii="Times New Roman" w:hAnsi="Times New Roman" w:cs="Times New Roman"/>
          <w:sz w:val="28"/>
          <w:szCs w:val="28"/>
        </w:rPr>
        <w:t xml:space="preserve">ograniczenia wolności nie niższą niż 60 dni </w:t>
      </w:r>
    </w:p>
    <w:p w:rsidR="0067395F" w:rsidRPr="005D6799" w:rsidRDefault="0067395F" w:rsidP="0067395F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 </w:t>
      </w:r>
      <w:r w:rsidR="000B7710" w:rsidRPr="005D6799">
        <w:rPr>
          <w:rFonts w:ascii="Times New Roman" w:hAnsi="Times New Roman" w:cs="Times New Roman"/>
          <w:sz w:val="28"/>
          <w:szCs w:val="28"/>
        </w:rPr>
        <w:t xml:space="preserve">Karę </w:t>
      </w:r>
      <w:r w:rsidRPr="005D6799">
        <w:rPr>
          <w:rFonts w:ascii="Times New Roman" w:hAnsi="Times New Roman" w:cs="Times New Roman"/>
          <w:sz w:val="28"/>
          <w:szCs w:val="28"/>
        </w:rPr>
        <w:t>2 lat ograniczenia wolności</w:t>
      </w:r>
    </w:p>
    <w:p w:rsidR="0067395F" w:rsidRDefault="0067395F" w:rsidP="0067395F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grzywnę nie niższą niż 100 stawek dziennych </w:t>
      </w:r>
    </w:p>
    <w:p w:rsidR="0080796E" w:rsidRPr="005D6799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0B7710" w:rsidRPr="00BB08AE" w:rsidRDefault="000B7710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 xml:space="preserve">Zgodnie z kodeksem </w:t>
      </w:r>
      <w:r w:rsidR="00180DC5" w:rsidRPr="00BB08AE">
        <w:rPr>
          <w:rFonts w:ascii="Times New Roman" w:hAnsi="Times New Roman" w:cs="Times New Roman"/>
          <w:b/>
          <w:sz w:val="28"/>
          <w:szCs w:val="28"/>
        </w:rPr>
        <w:t>postępowania</w:t>
      </w:r>
      <w:r w:rsidRPr="00BB08AE">
        <w:rPr>
          <w:rFonts w:ascii="Times New Roman" w:hAnsi="Times New Roman" w:cs="Times New Roman"/>
          <w:b/>
          <w:sz w:val="28"/>
          <w:szCs w:val="28"/>
        </w:rPr>
        <w:t xml:space="preserve"> karnego </w:t>
      </w:r>
      <w:r w:rsidR="00180DC5" w:rsidRPr="00BB08AE">
        <w:rPr>
          <w:rFonts w:ascii="Times New Roman" w:hAnsi="Times New Roman" w:cs="Times New Roman"/>
          <w:b/>
          <w:sz w:val="28"/>
          <w:szCs w:val="28"/>
        </w:rPr>
        <w:t>w celu wydania opinii o stanie zdrowia psychicznego oskarżonego, sąd powołuje:</w:t>
      </w:r>
    </w:p>
    <w:p w:rsidR="006733ED" w:rsidRPr="0080796E" w:rsidRDefault="006733ED" w:rsidP="006733ED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180DC5" w:rsidRPr="005D6799" w:rsidRDefault="00180DC5" w:rsidP="00180DC5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co najmniej dwóch biegłych lekarzy psychiatrów , a na ich wniosek biegłego psychologa </w:t>
      </w:r>
    </w:p>
    <w:p w:rsidR="00180DC5" w:rsidRPr="005D6799" w:rsidRDefault="00180DC5" w:rsidP="000B7710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>jednego biegłego lekarza psychiatrę i jednego psychologa</w:t>
      </w:r>
    </w:p>
    <w:p w:rsidR="00180DC5" w:rsidRDefault="00180DC5" w:rsidP="000B7710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co najmniej trzech biegłych lekarzy psychiatrów </w:t>
      </w:r>
    </w:p>
    <w:p w:rsidR="0080796E" w:rsidRDefault="0080796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BB08AE" w:rsidRDefault="00BB08A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BB08AE" w:rsidRDefault="00BB08A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BB08AE" w:rsidRPr="005D6799" w:rsidRDefault="00BB08AE" w:rsidP="0080796E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75841" w:rsidRPr="00BB08AE" w:rsidRDefault="00475841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lastRenderedPageBreak/>
        <w:t>W razie zgłoszenia przez biegłych psychiatrów takiej konieczności, badanie stanu zdrowia psychicznego oskarżonego:</w:t>
      </w:r>
    </w:p>
    <w:p w:rsidR="006733ED" w:rsidRPr="0080796E" w:rsidRDefault="006733ED" w:rsidP="006733ED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75841" w:rsidRPr="005D6799" w:rsidRDefault="00475841" w:rsidP="00475841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może być połączone z obserwacją w zakładzie leczniczym zawsze </w:t>
      </w:r>
    </w:p>
    <w:p w:rsidR="00475841" w:rsidRPr="005D6799" w:rsidRDefault="00475841" w:rsidP="00475841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może być połączone z obserwacją w zakładzie leczniczym tylko wtedy, gdy zebrane dowody wskazują na duże prawdopodobieństwo, ze oskarżony popełnił przestępstwo. </w:t>
      </w:r>
    </w:p>
    <w:p w:rsidR="00756A2A" w:rsidRPr="005D6799" w:rsidRDefault="00756A2A" w:rsidP="00775442">
      <w:pPr>
        <w:rPr>
          <w:rFonts w:ascii="Times New Roman" w:hAnsi="Times New Roman" w:cs="Times New Roman"/>
          <w:sz w:val="28"/>
          <w:szCs w:val="28"/>
        </w:rPr>
      </w:pPr>
    </w:p>
    <w:p w:rsidR="00B1205D" w:rsidRPr="00BB08AE" w:rsidRDefault="00B1205D" w:rsidP="0080796E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  <w:sz w:val="28"/>
          <w:szCs w:val="28"/>
        </w:rPr>
      </w:pPr>
      <w:r w:rsidRPr="00BB08AE">
        <w:rPr>
          <w:rFonts w:ascii="Times New Roman" w:hAnsi="Times New Roman" w:cs="Times New Roman"/>
          <w:b/>
          <w:sz w:val="28"/>
          <w:szCs w:val="28"/>
        </w:rPr>
        <w:t>Zgodnie z kodeksem karnym kara pozbawienia wolności wymieniona w art. 32 pkt. 3 tego kodeksu trwa:</w:t>
      </w:r>
    </w:p>
    <w:p w:rsidR="006733ED" w:rsidRPr="0080796E" w:rsidRDefault="006733ED" w:rsidP="006733ED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B1205D" w:rsidRPr="005D6799" w:rsidRDefault="00B1205D" w:rsidP="00B1205D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 najkrócej miesiąc, najdłużej 30 lat, wymierza się ją w miesiącach i latach </w:t>
      </w:r>
    </w:p>
    <w:p w:rsidR="00B1205D" w:rsidRPr="005D6799" w:rsidRDefault="00B1205D" w:rsidP="00B1205D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najkrócej miesiąc, najdłużej 15 lat, wymierza się ją w miesiącach i latach </w:t>
      </w:r>
    </w:p>
    <w:p w:rsidR="00B1205D" w:rsidRPr="005D6799" w:rsidRDefault="00B1205D" w:rsidP="00B1205D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D6799">
        <w:rPr>
          <w:rFonts w:ascii="Times New Roman" w:hAnsi="Times New Roman" w:cs="Times New Roman"/>
          <w:sz w:val="28"/>
          <w:szCs w:val="28"/>
        </w:rPr>
        <w:t xml:space="preserve">najkrócej miesiąc, najdłużej 25 lat wymierza się  ją w dniach,  miesiącach i latach    </w:t>
      </w:r>
    </w:p>
    <w:p w:rsidR="0080796E" w:rsidRPr="003654B4" w:rsidRDefault="0080796E" w:rsidP="0080796E">
      <w:pPr>
        <w:spacing w:after="0" w:line="360" w:lineRule="auto"/>
        <w:jc w:val="both"/>
        <w:rPr>
          <w:rFonts w:ascii="Arial" w:hAnsi="Arial" w:cs="Arial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96E">
        <w:rPr>
          <w:rFonts w:ascii="Times New Roman" w:hAnsi="Times New Roman" w:cs="Times New Roman"/>
          <w:b/>
          <w:sz w:val="28"/>
          <w:szCs w:val="28"/>
        </w:rPr>
        <w:t>Powództwo o posiadanie nieruchomości można wytoczyć:</w:t>
      </w:r>
    </w:p>
    <w:p w:rsidR="0080796E" w:rsidRPr="0080796E" w:rsidRDefault="0080796E" w:rsidP="0080796E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przed sąd, w którego okręgu pozwany ma miejsce zamieszkania,</w:t>
      </w:r>
    </w:p>
    <w:p w:rsidR="0080796E" w:rsidRPr="0080796E" w:rsidRDefault="0080796E" w:rsidP="0080796E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przed sąd miejsca położenia nieruchomości,</w:t>
      </w:r>
    </w:p>
    <w:p w:rsidR="0080796E" w:rsidRPr="0080796E" w:rsidRDefault="0080796E" w:rsidP="0080796E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 xml:space="preserve">przed sąd, w którego okręgu pozwany ma miejsce zamieszkania lub przed sąd miejsca położenia nieruchomości, w zależności od wyboru powoda. </w:t>
      </w:r>
    </w:p>
    <w:p w:rsidR="0080796E" w:rsidRPr="0080796E" w:rsidRDefault="0080796E" w:rsidP="0080796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pl-PL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Uprawnionemu przez kilku współuczestników sporu do odbioru pism sądowych doręcza się:</w:t>
      </w:r>
    </w:p>
    <w:p w:rsidR="0080796E" w:rsidRPr="0080796E" w:rsidRDefault="0080796E" w:rsidP="0080796E">
      <w:pPr>
        <w:pStyle w:val="Akapitzlist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sz w:val="28"/>
          <w:szCs w:val="28"/>
          <w:lang w:eastAsia="pl-PL"/>
        </w:rPr>
        <w:t>jeden egzemplarz pisma i załączników,</w:t>
      </w:r>
    </w:p>
    <w:p w:rsidR="0080796E" w:rsidRPr="0080796E" w:rsidRDefault="0080796E" w:rsidP="0080796E">
      <w:pPr>
        <w:pStyle w:val="Akapitzlist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sz w:val="28"/>
          <w:szCs w:val="28"/>
          <w:lang w:eastAsia="pl-PL"/>
        </w:rPr>
        <w:t>jeden egzemplarz pisma i załączników dla uprawnionego oraz jeden dla współuczestników,</w:t>
      </w:r>
    </w:p>
    <w:p w:rsidR="0080796E" w:rsidRPr="0080796E" w:rsidRDefault="0080796E" w:rsidP="0080796E">
      <w:pPr>
        <w:pStyle w:val="Akapitzlist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sz w:val="28"/>
          <w:szCs w:val="28"/>
          <w:lang w:eastAsia="pl-PL"/>
        </w:rPr>
        <w:t>po jednym egzemplarzu dla każdego współuczestnika.</w:t>
      </w:r>
      <w:r w:rsidRPr="0080796E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  </w:t>
      </w:r>
    </w:p>
    <w:p w:rsidR="0080796E" w:rsidRDefault="0080796E" w:rsidP="0080796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pl-PL"/>
        </w:rPr>
      </w:pPr>
    </w:p>
    <w:p w:rsidR="00BB08AE" w:rsidRDefault="00BB08AE" w:rsidP="0080796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pl-PL"/>
        </w:rPr>
      </w:pPr>
    </w:p>
    <w:p w:rsidR="00BB08AE" w:rsidRDefault="00BB08AE" w:rsidP="0080796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pl-PL"/>
        </w:rPr>
      </w:pPr>
    </w:p>
    <w:p w:rsidR="00BB08AE" w:rsidRPr="0080796E" w:rsidRDefault="00BB08AE" w:rsidP="0080796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pl-PL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pl-PL"/>
        </w:rPr>
      </w:pPr>
      <w:r w:rsidRPr="0080796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pl-PL"/>
        </w:rPr>
        <w:lastRenderedPageBreak/>
        <w:t>Cofnięcie pozwu co do zasady:</w:t>
      </w:r>
    </w:p>
    <w:p w:rsidR="0080796E" w:rsidRPr="0080796E" w:rsidRDefault="0080796E" w:rsidP="0080796E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sz w:val="28"/>
          <w:szCs w:val="28"/>
          <w:lang w:eastAsia="pl-PL"/>
        </w:rPr>
        <w:t>bez zezwolenia pozwanego jest dopuszczalne aż do rozpoczęcia rozprawy, a jeżeli z cofnięciem połączone jest zrzeczenie się roszczenia - aż do wydania wyroku.</w:t>
      </w:r>
    </w:p>
    <w:p w:rsidR="0080796E" w:rsidRPr="0080796E" w:rsidRDefault="0080796E" w:rsidP="0080796E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pl-PL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jest dopuszczalne przed uprawomocnieniem się wyroku albo przedstawieniem akt z apelacją sądowi drugiej instancji, z jednoczesnym zrzeczeniem się dochodzonego roszczenia, a za zgodą pozwanego również bez tego zrzeczenia, </w:t>
      </w:r>
    </w:p>
    <w:p w:rsidR="0080796E" w:rsidRPr="0080796E" w:rsidRDefault="0080796E" w:rsidP="0080796E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  <w:r w:rsidRPr="008079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  <w:t>obie odpowiedzi są prawidłowe.</w:t>
      </w:r>
    </w:p>
    <w:p w:rsidR="0080796E" w:rsidRPr="0080796E" w:rsidRDefault="0080796E" w:rsidP="0080796E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pl-PL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96E">
        <w:rPr>
          <w:rFonts w:ascii="Times New Roman" w:hAnsi="Times New Roman" w:cs="Times New Roman"/>
          <w:b/>
          <w:sz w:val="28"/>
          <w:szCs w:val="28"/>
        </w:rPr>
        <w:t>W razie niestawiennictwa na rozprawie prawidłowo wezwanego uczestnika w sprawie o zasiedzenie:</w:t>
      </w:r>
    </w:p>
    <w:p w:rsidR="0080796E" w:rsidRPr="0080796E" w:rsidRDefault="0080796E" w:rsidP="0080796E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sąd może wydać orzeczenie zaoczne,</w:t>
      </w:r>
    </w:p>
    <w:p w:rsidR="0080796E" w:rsidRPr="0080796E" w:rsidRDefault="0080796E" w:rsidP="0080796E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niestawiennictwo nie tamuje rozpoznania sprawy,</w:t>
      </w:r>
    </w:p>
    <w:p w:rsidR="0080796E" w:rsidRPr="0080796E" w:rsidRDefault="0080796E" w:rsidP="0080796E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sąd zawiesza z tego powodu postępowanie.</w:t>
      </w:r>
    </w:p>
    <w:p w:rsidR="0080796E" w:rsidRPr="0080796E" w:rsidRDefault="0080796E" w:rsidP="008079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96E">
        <w:rPr>
          <w:rFonts w:ascii="Times New Roman" w:hAnsi="Times New Roman" w:cs="Times New Roman"/>
          <w:b/>
          <w:sz w:val="28"/>
          <w:szCs w:val="28"/>
        </w:rPr>
        <w:t>Zażalenie na postanowienie, którego przedmiotem jest odmowa sprostowania wyroku sądu pierwszej instancji przysługuje do:</w:t>
      </w:r>
    </w:p>
    <w:p w:rsidR="0080796E" w:rsidRPr="0080796E" w:rsidRDefault="0080796E" w:rsidP="0080796E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sądu drugiej instancji</w:t>
      </w: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80796E" w:rsidRPr="0080796E" w:rsidRDefault="0080796E" w:rsidP="0080796E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innego składu sądu pierwszej instancji,</w:t>
      </w:r>
    </w:p>
    <w:p w:rsidR="0080796E" w:rsidRPr="0080796E" w:rsidRDefault="0080796E" w:rsidP="0080796E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 xml:space="preserve">zażalenie w takim wypadku nie przysługuje. </w:t>
      </w:r>
    </w:p>
    <w:p w:rsidR="0080796E" w:rsidRPr="0080796E" w:rsidRDefault="0080796E" w:rsidP="008079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W przypadku złożenia wniosku o zabezpieczenie roszczeń pieniężnych przeciwko Skarbowi Państwa:</w:t>
      </w:r>
    </w:p>
    <w:p w:rsidR="0080796E" w:rsidRPr="0080796E" w:rsidRDefault="0080796E" w:rsidP="0080796E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wnioskujący nie musi uprawdopodobnić interesu prawnego w udzieleniu zabezpieczenia - gdyż Skarb Państwa jest zawsze wypłacalny,</w:t>
      </w:r>
    </w:p>
    <w:p w:rsidR="0080796E" w:rsidRPr="0080796E" w:rsidRDefault="0080796E" w:rsidP="0080796E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wniosek taki podlega rozpoznaniu na zasadach ogólnych, a wnioskujący musi uprawdopodobnić roszczenia oraz interes prawny,</w:t>
      </w:r>
    </w:p>
    <w:p w:rsidR="0080796E" w:rsidRPr="0080796E" w:rsidRDefault="0080796E" w:rsidP="0080796E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wniosek taki jest niedopuszczalny.</w:t>
      </w:r>
    </w:p>
    <w:p w:rsidR="0080796E" w:rsidRPr="0080796E" w:rsidRDefault="0080796E" w:rsidP="0080796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96E">
        <w:rPr>
          <w:rFonts w:ascii="Times New Roman" w:hAnsi="Times New Roman" w:cs="Times New Roman"/>
          <w:b/>
          <w:sz w:val="28"/>
          <w:szCs w:val="28"/>
        </w:rPr>
        <w:t>Powództwo o zwolnienie zajętego przedmiotu od egzekucji co do zasady:</w:t>
      </w:r>
    </w:p>
    <w:p w:rsidR="0080796E" w:rsidRPr="0080796E" w:rsidRDefault="0080796E" w:rsidP="0080796E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</w:rPr>
        <w:t xml:space="preserve">można wnieść w terminie </w:t>
      </w: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miesiąca od dnia dowiedzenia się o naruszeniu prawa, </w:t>
      </w:r>
    </w:p>
    <w:p w:rsidR="0080796E" w:rsidRPr="0080796E" w:rsidRDefault="0080796E" w:rsidP="0080796E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</w:rPr>
        <w:t xml:space="preserve">można wnieść w terminie sześciu </w:t>
      </w: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miesięcy od dnia dowiedzenia się o naruszeniu prawa,</w:t>
      </w:r>
    </w:p>
    <w:p w:rsidR="0080796E" w:rsidRPr="0080796E" w:rsidRDefault="0080796E" w:rsidP="0080796E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</w:rPr>
        <w:t>nie jest ograniczone żadnym terminem.</w:t>
      </w:r>
    </w:p>
    <w:p w:rsidR="0080796E" w:rsidRPr="0080796E" w:rsidRDefault="0080796E" w:rsidP="00807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Ustalenia wydanego w postępowaniu karnym prawomocnego wyroku umarzającego warunkowo postępowanie:</w:t>
      </w:r>
    </w:p>
    <w:p w:rsidR="0080796E" w:rsidRPr="0080796E" w:rsidRDefault="0080796E" w:rsidP="0080796E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eastAsia="Times New Roman" w:hAnsi="Times New Roman" w:cs="Times New Roman"/>
          <w:sz w:val="28"/>
          <w:szCs w:val="28"/>
          <w:lang w:eastAsia="pl-PL"/>
        </w:rPr>
        <w:t>wiążą sąd w postępowaniu cywilnym,</w:t>
      </w:r>
    </w:p>
    <w:p w:rsidR="0080796E" w:rsidRPr="0080796E" w:rsidRDefault="0080796E" w:rsidP="0080796E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nie wiążą sądu w postępowaniu cywilnym,</w:t>
      </w:r>
    </w:p>
    <w:p w:rsidR="0080796E" w:rsidRPr="0080796E" w:rsidRDefault="0080796E" w:rsidP="0080796E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wiążą tylko wtedy kiedy strona postępowania się na niego powołuje w celu wyłączenia lub ograniczenia swojej odpowiedzialności. </w:t>
      </w:r>
    </w:p>
    <w:p w:rsidR="0080796E" w:rsidRPr="0080796E" w:rsidRDefault="0080796E" w:rsidP="008079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Osoba mająca czternaście lat:</w:t>
      </w:r>
    </w:p>
    <w:p w:rsidR="0080796E" w:rsidRPr="0080796E" w:rsidRDefault="0080796E" w:rsidP="0080796E">
      <w:pPr>
        <w:pStyle w:val="Akapitzlist"/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może być ubezwłasnowolniona całkowicie,</w:t>
      </w:r>
    </w:p>
    <w:p w:rsidR="0080796E" w:rsidRPr="0080796E" w:rsidRDefault="0080796E" w:rsidP="0080796E">
      <w:pPr>
        <w:pStyle w:val="Akapitzlist"/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może być ubezwłasnowolniona częściowo,</w:t>
      </w:r>
    </w:p>
    <w:p w:rsidR="0080796E" w:rsidRPr="0080796E" w:rsidRDefault="0080796E" w:rsidP="0080796E">
      <w:pPr>
        <w:pStyle w:val="Akapitzlist"/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nie może być ubezwłasnowolniona całkowicie.</w:t>
      </w:r>
    </w:p>
    <w:p w:rsidR="0080796E" w:rsidRPr="0080796E" w:rsidRDefault="0080796E" w:rsidP="008079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Zgodnie z Kodeksem rodzinnym i opiekuńczym przedmioty majątkowe nabyte przez osobę pozostającą we wspólności majątkowej (wspólności ustawowej) przez dziedziczenie testamentowe:</w:t>
      </w:r>
    </w:p>
    <w:p w:rsidR="0080796E" w:rsidRPr="0080796E" w:rsidRDefault="0080796E" w:rsidP="0080796E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wchodzą w skład majątku osobistego,</w:t>
      </w:r>
    </w:p>
    <w:p w:rsidR="0080796E" w:rsidRPr="0080796E" w:rsidRDefault="0080796E" w:rsidP="0080796E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wchodzą w skład majątku wspólnego,</w:t>
      </w:r>
    </w:p>
    <w:p w:rsidR="0080796E" w:rsidRPr="0080796E" w:rsidRDefault="0080796E" w:rsidP="0080796E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wchodzą w skład majątku osobistego, chyba że co innego wynika z treści testamentu (woli spadkodawcy).</w:t>
      </w:r>
    </w:p>
    <w:p w:rsidR="0080796E" w:rsidRPr="0080796E" w:rsidRDefault="0080796E" w:rsidP="00807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Postanowienie podlegające zaskarżeniu zostało ogłoszone na rozprawie w dniu 4 listopada 2024 roku (poniedziałek). Kiedy mija dla strony termin na zgłoszenie wniosku o sporządzenie uzasadnienia postanowienia i jego doręczenie?</w:t>
      </w:r>
    </w:p>
    <w:p w:rsidR="0080796E" w:rsidRPr="0080796E" w:rsidRDefault="0080796E" w:rsidP="0080796E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w dniu 11 listopada 2024 roku (poniedziałek)</w:t>
      </w:r>
    </w:p>
    <w:p w:rsidR="0080796E" w:rsidRPr="0080796E" w:rsidRDefault="0080796E" w:rsidP="0080796E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w dniu 12 listopada 2024 roku (wtorek)</w:t>
      </w:r>
    </w:p>
    <w:p w:rsidR="0080796E" w:rsidRPr="0080796E" w:rsidRDefault="0080796E" w:rsidP="0080796E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po upływie terminu na jego zaskarżenie, licząc od dnia doręczenia postanowienia.</w:t>
      </w:r>
    </w:p>
    <w:p w:rsidR="0080796E" w:rsidRPr="0080796E" w:rsidRDefault="0080796E" w:rsidP="008079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Umowa o zrzeczenie się dziedziczenia:</w:t>
      </w:r>
    </w:p>
    <w:p w:rsidR="0080796E" w:rsidRPr="0080796E" w:rsidRDefault="0080796E" w:rsidP="0080796E">
      <w:pPr>
        <w:pStyle w:val="Akapitzlist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sz w:val="28"/>
          <w:szCs w:val="28"/>
          <w:lang w:eastAsia="pl-PL"/>
        </w:rPr>
        <w:t>obejmuje również zstępnych zrzekającego się, chyba że umówiono się inaczej,</w:t>
      </w:r>
    </w:p>
    <w:p w:rsidR="0080796E" w:rsidRPr="0080796E" w:rsidRDefault="0080796E" w:rsidP="0080796E">
      <w:pPr>
        <w:pStyle w:val="Akapitzlist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sz w:val="28"/>
          <w:szCs w:val="28"/>
          <w:lang w:eastAsia="pl-PL"/>
        </w:rPr>
        <w:t>nie obejmuje zstępnych zrzekającego się, chyba że umówiono się inaczej,</w:t>
      </w:r>
    </w:p>
    <w:p w:rsidR="0080796E" w:rsidRPr="0080796E" w:rsidRDefault="0080796E" w:rsidP="0080796E">
      <w:pPr>
        <w:pStyle w:val="Akapitzlist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0796E">
        <w:rPr>
          <w:rFonts w:ascii="Times New Roman" w:eastAsia="Times New Roman" w:hAnsi="Times New Roman" w:cs="Times New Roman"/>
          <w:sz w:val="28"/>
          <w:szCs w:val="28"/>
          <w:lang w:eastAsia="pl-PL"/>
        </w:rPr>
        <w:t>powinna być zawarta w formie pisemnej z podpisami notarialnie poświadczonymi.</w:t>
      </w:r>
    </w:p>
    <w:p w:rsidR="0080796E" w:rsidRPr="0080796E" w:rsidRDefault="0080796E" w:rsidP="0080796E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W orzeczeniu sądu znoszącym współwłasność i przyznającym dopłaty, sąd rozkładając dopłaty na raty może:</w:t>
      </w:r>
    </w:p>
    <w:p w:rsidR="0080796E" w:rsidRPr="0080796E" w:rsidRDefault="0080796E" w:rsidP="0080796E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terminy ich uiszczenia ustalić dowolnie - nie ma bowiem w tym zakresie żadnych ograniczeń,</w:t>
      </w:r>
    </w:p>
    <w:p w:rsidR="0080796E" w:rsidRPr="0080796E" w:rsidRDefault="0080796E" w:rsidP="0080796E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 xml:space="preserve">terminy ich uiszczenia ustalić maksymalnie na 20 lat, </w:t>
      </w:r>
    </w:p>
    <w:p w:rsidR="0080796E" w:rsidRPr="0080796E" w:rsidRDefault="0080796E" w:rsidP="0080796E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terminy ich uiszczenia ustalić maksymalnie na 10 lat.</w:t>
      </w:r>
    </w:p>
    <w:p w:rsidR="0080796E" w:rsidRDefault="0080796E" w:rsidP="00807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08AE" w:rsidRDefault="00BB08AE" w:rsidP="00807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08AE" w:rsidRDefault="00BB08AE" w:rsidP="00807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08AE" w:rsidRDefault="00BB08AE" w:rsidP="00807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08AE" w:rsidRDefault="00BB08AE" w:rsidP="00807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08AE" w:rsidRPr="0080796E" w:rsidRDefault="00BB08AE" w:rsidP="008079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Kara umowna:</w:t>
      </w:r>
    </w:p>
    <w:p w:rsidR="0080796E" w:rsidRPr="0080796E" w:rsidRDefault="0080796E" w:rsidP="0080796E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może być zastrzeżona w przypadku niewykonania zobowiązania niepieniężnego,</w:t>
      </w:r>
    </w:p>
    <w:p w:rsidR="0080796E" w:rsidRPr="0080796E" w:rsidRDefault="0080796E" w:rsidP="0080796E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może być zastrzeżona w przypadku niewykonania lub nienależytego wykonania wszystkich zobowiązań,</w:t>
      </w:r>
    </w:p>
    <w:p w:rsidR="0080796E" w:rsidRPr="0080796E" w:rsidRDefault="0080796E" w:rsidP="0080796E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może być zastrzeżona w przypadku niewykonania zobowiązania pieniężnego. </w:t>
      </w:r>
    </w:p>
    <w:p w:rsidR="0080796E" w:rsidRPr="0080796E" w:rsidRDefault="0080796E" w:rsidP="0080796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Zgodnie z kodeksem cywilnym sprzedający i kupujący (będący konsumentem) mogą:</w:t>
      </w:r>
    </w:p>
    <w:p w:rsidR="0080796E" w:rsidRPr="0080796E" w:rsidRDefault="0080796E" w:rsidP="0080796E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zawsze zmodyfikować odpowiedzialność z tytułu rękojmi,</w:t>
      </w:r>
    </w:p>
    <w:p w:rsidR="0080796E" w:rsidRPr="0080796E" w:rsidRDefault="0080796E" w:rsidP="0080796E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mogą jedynie rozszerzyć odpowiedzialność z tytułu rękojmi,</w:t>
      </w:r>
    </w:p>
    <w:p w:rsidR="0080796E" w:rsidRPr="0080796E" w:rsidRDefault="0080796E" w:rsidP="0080796E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>mogą wyłączyć odpowiedzialność z tytułu rękojmi - jeśli ten kupujący się na to zgadza.</w:t>
      </w:r>
    </w:p>
    <w:p w:rsidR="0080796E" w:rsidRPr="0080796E" w:rsidRDefault="0080796E" w:rsidP="008079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96E">
        <w:rPr>
          <w:rFonts w:ascii="Times New Roman" w:hAnsi="Times New Roman" w:cs="Times New Roman"/>
          <w:b/>
          <w:sz w:val="28"/>
          <w:szCs w:val="28"/>
        </w:rPr>
        <w:t>Roszczenia z umowy przewozu osób przedawniają się:</w:t>
      </w:r>
    </w:p>
    <w:p w:rsidR="0080796E" w:rsidRPr="0080796E" w:rsidRDefault="0080796E" w:rsidP="0080796E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z upływem roku od dnia wykonania przewozu albo od dnia, kiedy miał być wykonany,</w:t>
      </w:r>
    </w:p>
    <w:p w:rsidR="0080796E" w:rsidRPr="0080796E" w:rsidRDefault="0080796E" w:rsidP="0080796E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z upływem trzech lat od dnia wykonania przewozu albo od dnia, kiedy miał być wykonany,</w:t>
      </w:r>
    </w:p>
    <w:p w:rsidR="0080796E" w:rsidRPr="0080796E" w:rsidRDefault="0080796E" w:rsidP="0080796E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zgodnie z ogólnymi terminami przedawnienia.</w:t>
      </w:r>
    </w:p>
    <w:p w:rsidR="0080796E" w:rsidRPr="0080796E" w:rsidRDefault="0080796E" w:rsidP="008079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96E">
        <w:rPr>
          <w:rFonts w:ascii="Times New Roman" w:hAnsi="Times New Roman" w:cs="Times New Roman"/>
          <w:b/>
          <w:sz w:val="28"/>
          <w:szCs w:val="28"/>
        </w:rPr>
        <w:t>Testament:</w:t>
      </w:r>
    </w:p>
    <w:p w:rsidR="0080796E" w:rsidRPr="0080796E" w:rsidRDefault="0080796E" w:rsidP="0080796E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może być odwołany przez pełnomocnika - po udzieleniu pełnomocnictwa w formie pisemnej z podpisem notarialnie poświadczonym,</w:t>
      </w:r>
    </w:p>
    <w:p w:rsidR="0080796E" w:rsidRPr="0080796E" w:rsidRDefault="0080796E" w:rsidP="0080796E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nie może być odwołany w ciągu dziesięciu lat od dnia sporządzenia testamentu,</w:t>
      </w:r>
    </w:p>
    <w:p w:rsidR="0080796E" w:rsidRPr="0080796E" w:rsidRDefault="0080796E" w:rsidP="0080796E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nie może być odwołany przez osobę</w:t>
      </w:r>
      <w:r w:rsidRPr="008079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ubezwłasnowolnioną.</w:t>
      </w:r>
    </w:p>
    <w:p w:rsidR="0080796E" w:rsidRPr="0080796E" w:rsidRDefault="0080796E" w:rsidP="0080796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96E" w:rsidRPr="0080796E" w:rsidRDefault="0080796E" w:rsidP="0080796E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96E">
        <w:rPr>
          <w:rFonts w:ascii="Times New Roman" w:hAnsi="Times New Roman" w:cs="Times New Roman"/>
          <w:b/>
          <w:sz w:val="28"/>
          <w:szCs w:val="28"/>
        </w:rPr>
        <w:lastRenderedPageBreak/>
        <w:t>Jeżeli w momencie śmierci spadkodawcy (bezdzietnego) przy życiu pozostała małżonka, rodzice spadkodawcy oraz brat spadkodawcy to:</w:t>
      </w:r>
    </w:p>
    <w:p w:rsidR="0080796E" w:rsidRPr="0080796E" w:rsidRDefault="0080796E" w:rsidP="0080796E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spadek dziedziczy małżonka spadkodawcy - w 1/2 części, rodzice i brat - po 1/6 części każdy,</w:t>
      </w:r>
    </w:p>
    <w:p w:rsidR="0080796E" w:rsidRPr="0080796E" w:rsidRDefault="0080796E" w:rsidP="0080796E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>małżonka – w 1/2 części, matka - w 1/4 części oraz ojciec w 1/4 części,</w:t>
      </w:r>
    </w:p>
    <w:p w:rsidR="0080796E" w:rsidRPr="0080796E" w:rsidRDefault="0080796E" w:rsidP="0080796E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 xml:space="preserve">wszystkie wymienione osoby w częściach równych. </w:t>
      </w:r>
    </w:p>
    <w:p w:rsidR="0080796E" w:rsidRDefault="0080796E" w:rsidP="00775442">
      <w:pPr>
        <w:rPr>
          <w:rFonts w:ascii="Times New Roman" w:hAnsi="Times New Roman" w:cs="Times New Roman"/>
          <w:b/>
          <w:sz w:val="28"/>
          <w:szCs w:val="28"/>
        </w:rPr>
      </w:pPr>
    </w:p>
    <w:p w:rsidR="0080796E" w:rsidRDefault="0080796E" w:rsidP="00775442">
      <w:pPr>
        <w:rPr>
          <w:rFonts w:ascii="Times New Roman" w:hAnsi="Times New Roman" w:cs="Times New Roman"/>
          <w:b/>
          <w:sz w:val="28"/>
          <w:szCs w:val="28"/>
        </w:rPr>
      </w:pPr>
    </w:p>
    <w:p w:rsidR="00842E20" w:rsidRPr="005D6799" w:rsidRDefault="00842E20" w:rsidP="00775442">
      <w:pPr>
        <w:rPr>
          <w:rFonts w:ascii="Times New Roman" w:hAnsi="Times New Roman" w:cs="Times New Roman"/>
          <w:b/>
          <w:sz w:val="28"/>
          <w:szCs w:val="28"/>
        </w:rPr>
      </w:pPr>
      <w:r w:rsidRPr="005D6799">
        <w:rPr>
          <w:rFonts w:ascii="Times New Roman" w:hAnsi="Times New Roman" w:cs="Times New Roman"/>
          <w:b/>
          <w:sz w:val="28"/>
          <w:szCs w:val="28"/>
        </w:rPr>
        <w:t>Tematy pracy pisemnej</w:t>
      </w:r>
    </w:p>
    <w:p w:rsidR="00842E20" w:rsidRPr="005D6799" w:rsidRDefault="00842E20" w:rsidP="00775442">
      <w:pPr>
        <w:rPr>
          <w:rFonts w:ascii="Times New Roman" w:hAnsi="Times New Roman" w:cs="Times New Roman"/>
          <w:b/>
          <w:sz w:val="28"/>
          <w:szCs w:val="28"/>
        </w:rPr>
      </w:pPr>
    </w:p>
    <w:p w:rsidR="00842E20" w:rsidRPr="005D6799" w:rsidRDefault="00842E20" w:rsidP="00775442">
      <w:pPr>
        <w:rPr>
          <w:rFonts w:ascii="Times New Roman" w:hAnsi="Times New Roman" w:cs="Times New Roman"/>
          <w:i/>
          <w:sz w:val="28"/>
          <w:szCs w:val="28"/>
        </w:rPr>
      </w:pPr>
      <w:r w:rsidRPr="005D6799">
        <w:rPr>
          <w:rFonts w:ascii="Times New Roman" w:hAnsi="Times New Roman" w:cs="Times New Roman"/>
          <w:i/>
          <w:sz w:val="28"/>
          <w:szCs w:val="28"/>
        </w:rPr>
        <w:t xml:space="preserve">Kandydat wybiera tylko  jeden z dwóch poniższych tematów pracy pisemnej. Pracę pisemną komisja ocenia w skali od 0 do 9 punktów </w:t>
      </w:r>
    </w:p>
    <w:p w:rsidR="0080796E" w:rsidRDefault="00756A2A" w:rsidP="00842E20">
      <w:pPr>
        <w:pStyle w:val="Akapitzlist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 xml:space="preserve">Warunkowe </w:t>
      </w:r>
      <w:r w:rsidR="00414603" w:rsidRPr="0080796E">
        <w:rPr>
          <w:rFonts w:ascii="Times New Roman" w:hAnsi="Times New Roman" w:cs="Times New Roman"/>
          <w:sz w:val="28"/>
          <w:szCs w:val="28"/>
        </w:rPr>
        <w:t>zawieszenie</w:t>
      </w:r>
      <w:r w:rsidRPr="0080796E">
        <w:rPr>
          <w:rFonts w:ascii="Times New Roman" w:hAnsi="Times New Roman" w:cs="Times New Roman"/>
          <w:sz w:val="28"/>
          <w:szCs w:val="28"/>
        </w:rPr>
        <w:t xml:space="preserve"> wykonania </w:t>
      </w:r>
      <w:r w:rsidR="00414603" w:rsidRPr="0080796E">
        <w:rPr>
          <w:rFonts w:ascii="Times New Roman" w:hAnsi="Times New Roman" w:cs="Times New Roman"/>
          <w:sz w:val="28"/>
          <w:szCs w:val="28"/>
        </w:rPr>
        <w:t xml:space="preserve">kary pozbawienia wolności </w:t>
      </w:r>
      <w:r w:rsidR="00842E20" w:rsidRPr="0080796E">
        <w:rPr>
          <w:rFonts w:ascii="Times New Roman" w:hAnsi="Times New Roman" w:cs="Times New Roman"/>
          <w:sz w:val="28"/>
          <w:szCs w:val="28"/>
        </w:rPr>
        <w:t>w</w:t>
      </w:r>
      <w:r w:rsidRPr="0080796E">
        <w:rPr>
          <w:rFonts w:ascii="Times New Roman" w:hAnsi="Times New Roman" w:cs="Times New Roman"/>
          <w:sz w:val="28"/>
          <w:szCs w:val="28"/>
        </w:rPr>
        <w:t xml:space="preserve"> świetle przepisów kodeksu karnego. Podstawy i zasady stosowania. </w:t>
      </w:r>
      <w:r w:rsidR="00414603" w:rsidRPr="0080796E">
        <w:rPr>
          <w:rFonts w:ascii="Times New Roman" w:hAnsi="Times New Roman" w:cs="Times New Roman"/>
          <w:sz w:val="28"/>
          <w:szCs w:val="28"/>
        </w:rPr>
        <w:t xml:space="preserve">Obowiązki okresu próby. W jakich przypadkach następuje zarządzenie wykonania kary warunkowo zawieszonej . </w:t>
      </w:r>
    </w:p>
    <w:p w:rsidR="0080796E" w:rsidRPr="0080796E" w:rsidRDefault="0080796E" w:rsidP="0080796E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80796E" w:rsidRPr="0080796E" w:rsidRDefault="0080796E" w:rsidP="0080796E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6E">
        <w:rPr>
          <w:rFonts w:ascii="Times New Roman" w:hAnsi="Times New Roman" w:cs="Times New Roman"/>
          <w:sz w:val="28"/>
          <w:szCs w:val="28"/>
        </w:rPr>
        <w:t xml:space="preserve">Skarga </w:t>
      </w:r>
      <w:proofErr w:type="spellStart"/>
      <w:r w:rsidRPr="0080796E">
        <w:rPr>
          <w:rFonts w:ascii="Times New Roman" w:hAnsi="Times New Roman" w:cs="Times New Roman"/>
          <w:sz w:val="28"/>
          <w:szCs w:val="28"/>
        </w:rPr>
        <w:t>pauliańska</w:t>
      </w:r>
      <w:proofErr w:type="spellEnd"/>
      <w:r w:rsidRPr="008079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796E" w:rsidRPr="005D6799" w:rsidRDefault="0080796E" w:rsidP="00842E2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796E" w:rsidRPr="005D6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003A0"/>
    <w:multiLevelType w:val="hybridMultilevel"/>
    <w:tmpl w:val="034E366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A487B"/>
    <w:multiLevelType w:val="hybridMultilevel"/>
    <w:tmpl w:val="0B60CF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01BCA"/>
    <w:multiLevelType w:val="hybridMultilevel"/>
    <w:tmpl w:val="8618A606"/>
    <w:lvl w:ilvl="0" w:tplc="E40054EE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E79B2"/>
    <w:multiLevelType w:val="hybridMultilevel"/>
    <w:tmpl w:val="EA4E534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B261F"/>
    <w:multiLevelType w:val="hybridMultilevel"/>
    <w:tmpl w:val="65200F4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D619E"/>
    <w:multiLevelType w:val="hybridMultilevel"/>
    <w:tmpl w:val="062AD1C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A4C88"/>
    <w:multiLevelType w:val="hybridMultilevel"/>
    <w:tmpl w:val="8344549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E0A67"/>
    <w:multiLevelType w:val="hybridMultilevel"/>
    <w:tmpl w:val="F4FCF16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774C0"/>
    <w:multiLevelType w:val="hybridMultilevel"/>
    <w:tmpl w:val="9170F1F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36DE8"/>
    <w:multiLevelType w:val="hybridMultilevel"/>
    <w:tmpl w:val="E866291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16ED8"/>
    <w:multiLevelType w:val="hybridMultilevel"/>
    <w:tmpl w:val="3F98FA82"/>
    <w:lvl w:ilvl="0" w:tplc="06CCFF5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1014B"/>
    <w:multiLevelType w:val="hybridMultilevel"/>
    <w:tmpl w:val="DE504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B1399"/>
    <w:multiLevelType w:val="hybridMultilevel"/>
    <w:tmpl w:val="428658E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F3DB3"/>
    <w:multiLevelType w:val="hybridMultilevel"/>
    <w:tmpl w:val="C024AE42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46A53"/>
    <w:multiLevelType w:val="hybridMultilevel"/>
    <w:tmpl w:val="6EEA6D7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A7136"/>
    <w:multiLevelType w:val="hybridMultilevel"/>
    <w:tmpl w:val="2D76968A"/>
    <w:lvl w:ilvl="0" w:tplc="91444932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54276"/>
    <w:multiLevelType w:val="hybridMultilevel"/>
    <w:tmpl w:val="AF84D9F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5719D"/>
    <w:multiLevelType w:val="hybridMultilevel"/>
    <w:tmpl w:val="6596BC0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7475A5"/>
    <w:multiLevelType w:val="hybridMultilevel"/>
    <w:tmpl w:val="475C2C80"/>
    <w:lvl w:ilvl="0" w:tplc="B9683CF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067CC"/>
    <w:multiLevelType w:val="hybridMultilevel"/>
    <w:tmpl w:val="CD1C524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107B4"/>
    <w:multiLevelType w:val="hybridMultilevel"/>
    <w:tmpl w:val="DC54001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55057"/>
    <w:multiLevelType w:val="hybridMultilevel"/>
    <w:tmpl w:val="38C8E47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EC780E"/>
    <w:multiLevelType w:val="hybridMultilevel"/>
    <w:tmpl w:val="E5FCA1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DA3221"/>
    <w:multiLevelType w:val="hybridMultilevel"/>
    <w:tmpl w:val="CD6072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A4998"/>
    <w:multiLevelType w:val="hybridMultilevel"/>
    <w:tmpl w:val="141E112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93F08"/>
    <w:multiLevelType w:val="hybridMultilevel"/>
    <w:tmpl w:val="678E406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977230"/>
    <w:multiLevelType w:val="hybridMultilevel"/>
    <w:tmpl w:val="0A2A490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A30034"/>
    <w:multiLevelType w:val="hybridMultilevel"/>
    <w:tmpl w:val="A4BE8F04"/>
    <w:lvl w:ilvl="0" w:tplc="238ACA3A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  <w:color w:val="333333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304C2"/>
    <w:multiLevelType w:val="hybridMultilevel"/>
    <w:tmpl w:val="33629D1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D01C49"/>
    <w:multiLevelType w:val="hybridMultilevel"/>
    <w:tmpl w:val="5BE828D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146AB"/>
    <w:multiLevelType w:val="hybridMultilevel"/>
    <w:tmpl w:val="C074ADC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219B7"/>
    <w:multiLevelType w:val="hybridMultilevel"/>
    <w:tmpl w:val="57968CE6"/>
    <w:lvl w:ilvl="0" w:tplc="E48A0C82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8E6D06"/>
    <w:multiLevelType w:val="hybridMultilevel"/>
    <w:tmpl w:val="7072430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93AC9"/>
    <w:multiLevelType w:val="hybridMultilevel"/>
    <w:tmpl w:val="9ADC5EB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37E4A"/>
    <w:multiLevelType w:val="hybridMultilevel"/>
    <w:tmpl w:val="E5BE65F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70112"/>
    <w:multiLevelType w:val="hybridMultilevel"/>
    <w:tmpl w:val="DDF0BA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364697"/>
    <w:multiLevelType w:val="hybridMultilevel"/>
    <w:tmpl w:val="09F0880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6D4699"/>
    <w:multiLevelType w:val="hybridMultilevel"/>
    <w:tmpl w:val="9D7E64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7D4A5B"/>
    <w:multiLevelType w:val="hybridMultilevel"/>
    <w:tmpl w:val="B96CE0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25"/>
  </w:num>
  <w:num w:numId="4">
    <w:abstractNumId w:val="26"/>
  </w:num>
  <w:num w:numId="5">
    <w:abstractNumId w:val="0"/>
  </w:num>
  <w:num w:numId="6">
    <w:abstractNumId w:val="4"/>
  </w:num>
  <w:num w:numId="7">
    <w:abstractNumId w:val="35"/>
  </w:num>
  <w:num w:numId="8">
    <w:abstractNumId w:val="37"/>
  </w:num>
  <w:num w:numId="9">
    <w:abstractNumId w:val="24"/>
  </w:num>
  <w:num w:numId="10">
    <w:abstractNumId w:val="6"/>
  </w:num>
  <w:num w:numId="11">
    <w:abstractNumId w:val="28"/>
  </w:num>
  <w:num w:numId="12">
    <w:abstractNumId w:val="5"/>
  </w:num>
  <w:num w:numId="13">
    <w:abstractNumId w:val="7"/>
  </w:num>
  <w:num w:numId="14">
    <w:abstractNumId w:val="32"/>
  </w:num>
  <w:num w:numId="15">
    <w:abstractNumId w:val="20"/>
  </w:num>
  <w:num w:numId="16">
    <w:abstractNumId w:val="14"/>
  </w:num>
  <w:num w:numId="17">
    <w:abstractNumId w:val="33"/>
  </w:num>
  <w:num w:numId="18">
    <w:abstractNumId w:val="12"/>
  </w:num>
  <w:num w:numId="19">
    <w:abstractNumId w:val="1"/>
  </w:num>
  <w:num w:numId="20">
    <w:abstractNumId w:val="27"/>
  </w:num>
  <w:num w:numId="21">
    <w:abstractNumId w:val="3"/>
  </w:num>
  <w:num w:numId="22">
    <w:abstractNumId w:val="2"/>
  </w:num>
  <w:num w:numId="23">
    <w:abstractNumId w:val="17"/>
  </w:num>
  <w:num w:numId="24">
    <w:abstractNumId w:val="10"/>
  </w:num>
  <w:num w:numId="25">
    <w:abstractNumId w:val="38"/>
  </w:num>
  <w:num w:numId="26">
    <w:abstractNumId w:val="9"/>
  </w:num>
  <w:num w:numId="27">
    <w:abstractNumId w:val="30"/>
  </w:num>
  <w:num w:numId="28">
    <w:abstractNumId w:val="22"/>
  </w:num>
  <w:num w:numId="29">
    <w:abstractNumId w:val="36"/>
  </w:num>
  <w:num w:numId="30">
    <w:abstractNumId w:val="21"/>
  </w:num>
  <w:num w:numId="31">
    <w:abstractNumId w:val="31"/>
  </w:num>
  <w:num w:numId="32">
    <w:abstractNumId w:val="19"/>
  </w:num>
  <w:num w:numId="33">
    <w:abstractNumId w:val="34"/>
  </w:num>
  <w:num w:numId="34">
    <w:abstractNumId w:val="16"/>
  </w:num>
  <w:num w:numId="35">
    <w:abstractNumId w:val="8"/>
  </w:num>
  <w:num w:numId="36">
    <w:abstractNumId w:val="18"/>
  </w:num>
  <w:num w:numId="37">
    <w:abstractNumId w:val="15"/>
  </w:num>
  <w:num w:numId="38">
    <w:abstractNumId w:val="13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224"/>
    <w:rsid w:val="00050DEA"/>
    <w:rsid w:val="000740AA"/>
    <w:rsid w:val="000B7710"/>
    <w:rsid w:val="00180DC5"/>
    <w:rsid w:val="002A2F4B"/>
    <w:rsid w:val="003F651D"/>
    <w:rsid w:val="00414603"/>
    <w:rsid w:val="00475841"/>
    <w:rsid w:val="004A7329"/>
    <w:rsid w:val="005D6799"/>
    <w:rsid w:val="005D76E2"/>
    <w:rsid w:val="006733ED"/>
    <w:rsid w:val="0067395F"/>
    <w:rsid w:val="00756A2A"/>
    <w:rsid w:val="00775442"/>
    <w:rsid w:val="0080796E"/>
    <w:rsid w:val="00814123"/>
    <w:rsid w:val="00842E20"/>
    <w:rsid w:val="008955AC"/>
    <w:rsid w:val="00B02D7B"/>
    <w:rsid w:val="00B1205D"/>
    <w:rsid w:val="00BB08AE"/>
    <w:rsid w:val="00BB7443"/>
    <w:rsid w:val="00BF24BB"/>
    <w:rsid w:val="00CA6224"/>
    <w:rsid w:val="00CD5EF1"/>
    <w:rsid w:val="00E13205"/>
    <w:rsid w:val="00F3427A"/>
    <w:rsid w:val="00F766A5"/>
    <w:rsid w:val="00FD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52AEC-4466-4A16-9BF9-60F564F5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54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4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1575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Bożęcka Urszula</dc:creator>
  <cp:keywords/>
  <dc:description/>
  <cp:lastModifiedBy>Derengowska Monika</cp:lastModifiedBy>
  <cp:revision>2</cp:revision>
  <cp:lastPrinted>2024-11-15T08:46:00Z</cp:lastPrinted>
  <dcterms:created xsi:type="dcterms:W3CDTF">2024-12-30T08:45:00Z</dcterms:created>
  <dcterms:modified xsi:type="dcterms:W3CDTF">2024-12-30T08:45:00Z</dcterms:modified>
</cp:coreProperties>
</file>