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895" w:rsidRDefault="00862895" w:rsidP="00DE2CED">
      <w:pPr>
        <w:spacing w:after="0" w:line="360" w:lineRule="auto"/>
        <w:rPr>
          <w:rFonts w:ascii="Arial" w:hAnsi="Arial" w:cs="Arial"/>
          <w:b/>
        </w:rPr>
      </w:pPr>
      <w:bookmarkStart w:id="0" w:name="_GoBack"/>
      <w:bookmarkEnd w:id="0"/>
    </w:p>
    <w:p w:rsidR="00862895" w:rsidRPr="00DC3502" w:rsidRDefault="00862895" w:rsidP="00862895">
      <w:pPr>
        <w:jc w:val="both"/>
        <w:rPr>
          <w:rFonts w:ascii="Arial" w:eastAsia="Arial Unicode MS" w:hAnsi="Arial" w:cs="Arial"/>
          <w:sz w:val="24"/>
          <w:szCs w:val="24"/>
        </w:rPr>
      </w:pPr>
      <w:r w:rsidRPr="00DC3502">
        <w:rPr>
          <w:rFonts w:ascii="Arial" w:eastAsia="Arial Unicode MS" w:hAnsi="Arial" w:cs="Arial"/>
          <w:sz w:val="24"/>
          <w:szCs w:val="24"/>
        </w:rPr>
        <w:t>Słupca, 18 maja 2023 roku</w:t>
      </w:r>
    </w:p>
    <w:p w:rsidR="00862895" w:rsidRPr="00DC3502" w:rsidRDefault="00862895" w:rsidP="00862895">
      <w:pPr>
        <w:ind w:firstLine="708"/>
        <w:jc w:val="center"/>
        <w:rPr>
          <w:rFonts w:ascii="Arial" w:eastAsia="Arial Unicode MS" w:hAnsi="Arial" w:cs="Arial"/>
          <w:sz w:val="28"/>
          <w:szCs w:val="28"/>
        </w:rPr>
      </w:pPr>
    </w:p>
    <w:p w:rsidR="00862895" w:rsidRPr="00DC3502" w:rsidRDefault="00862895" w:rsidP="00862895">
      <w:pPr>
        <w:ind w:firstLine="708"/>
        <w:jc w:val="center"/>
        <w:rPr>
          <w:rFonts w:ascii="Arial" w:eastAsia="Arial Unicode MS" w:hAnsi="Arial" w:cs="Arial"/>
          <w:b/>
          <w:sz w:val="28"/>
          <w:szCs w:val="28"/>
        </w:rPr>
      </w:pPr>
      <w:r w:rsidRPr="00DC3502">
        <w:rPr>
          <w:rFonts w:ascii="Arial" w:eastAsia="Arial Unicode MS" w:hAnsi="Arial" w:cs="Arial"/>
          <w:b/>
          <w:sz w:val="28"/>
          <w:szCs w:val="28"/>
        </w:rPr>
        <w:t>Test dla kandydatów na stanowisko asystenta sędziego w Sądzie Rejonowym w Słupcy</w:t>
      </w:r>
    </w:p>
    <w:p w:rsidR="00862895" w:rsidRPr="00DC3502" w:rsidRDefault="00862895" w:rsidP="00862895">
      <w:pPr>
        <w:ind w:firstLine="708"/>
        <w:rPr>
          <w:rFonts w:ascii="Arial" w:eastAsia="Arial Unicode MS" w:hAnsi="Arial" w:cs="Arial"/>
          <w:sz w:val="28"/>
          <w:szCs w:val="28"/>
        </w:rPr>
      </w:pPr>
    </w:p>
    <w:p w:rsidR="00862895" w:rsidRPr="00DC3502" w:rsidRDefault="00862895" w:rsidP="00862895">
      <w:pPr>
        <w:ind w:firstLine="708"/>
        <w:rPr>
          <w:rFonts w:ascii="Arial" w:eastAsia="Arial Unicode MS" w:hAnsi="Arial" w:cs="Arial"/>
          <w:sz w:val="28"/>
          <w:szCs w:val="28"/>
        </w:rPr>
      </w:pPr>
      <w:r w:rsidRPr="004B3CCB">
        <w:rPr>
          <w:rFonts w:ascii="Arial" w:eastAsia="Arial Unicode MS" w:hAnsi="Arial" w:cs="Arial"/>
          <w:sz w:val="24"/>
          <w:szCs w:val="24"/>
        </w:rPr>
        <w:t>Imię i nazwisko</w:t>
      </w:r>
      <w:r w:rsidRPr="00DC3502">
        <w:rPr>
          <w:rFonts w:ascii="Arial" w:eastAsia="Arial Unicode MS" w:hAnsi="Arial" w:cs="Arial"/>
          <w:sz w:val="28"/>
          <w:szCs w:val="28"/>
        </w:rPr>
        <w:t xml:space="preserve"> ………………………………………………………………………………</w:t>
      </w:r>
    </w:p>
    <w:p w:rsidR="00862895" w:rsidRPr="00DC3502" w:rsidRDefault="00862895" w:rsidP="00862895">
      <w:pPr>
        <w:ind w:firstLine="708"/>
        <w:rPr>
          <w:rFonts w:ascii="Arial" w:eastAsia="Arial Unicode MS" w:hAnsi="Arial" w:cs="Arial"/>
          <w:sz w:val="28"/>
          <w:szCs w:val="28"/>
        </w:rPr>
      </w:pPr>
    </w:p>
    <w:p w:rsidR="00862895" w:rsidRPr="00DC3502" w:rsidRDefault="00862895" w:rsidP="00862895">
      <w:pPr>
        <w:pStyle w:val="Tekstpodstawowy1"/>
        <w:shd w:val="clear" w:color="auto" w:fill="auto"/>
        <w:spacing w:after="0" w:line="400" w:lineRule="exact"/>
        <w:ind w:left="20" w:firstLine="0"/>
        <w:rPr>
          <w:rFonts w:ascii="Arial" w:hAnsi="Arial" w:cs="Arial"/>
          <w:i/>
          <w:sz w:val="24"/>
          <w:szCs w:val="24"/>
        </w:rPr>
      </w:pPr>
      <w:r w:rsidRPr="00DC3502">
        <w:rPr>
          <w:rFonts w:ascii="Arial" w:hAnsi="Arial" w:cs="Arial"/>
          <w:i/>
          <w:sz w:val="24"/>
          <w:szCs w:val="24"/>
        </w:rPr>
        <w:t>Proszę odpowiedzieć na poniższe pytania, zaznaczając kółkiem oznaczenia literowe.</w:t>
      </w:r>
    </w:p>
    <w:p w:rsidR="00862895" w:rsidRPr="00DC3502" w:rsidRDefault="00862895" w:rsidP="00862895">
      <w:pPr>
        <w:pStyle w:val="Tekstpodstawowy1"/>
        <w:shd w:val="clear" w:color="auto" w:fill="auto"/>
        <w:spacing w:after="0" w:line="400" w:lineRule="exact"/>
        <w:ind w:left="20" w:firstLine="0"/>
        <w:rPr>
          <w:rFonts w:ascii="Arial" w:hAnsi="Arial" w:cs="Arial"/>
          <w:i/>
          <w:sz w:val="24"/>
          <w:szCs w:val="24"/>
        </w:rPr>
      </w:pPr>
      <w:r w:rsidRPr="00DC3502">
        <w:rPr>
          <w:rFonts w:ascii="Arial" w:hAnsi="Arial" w:cs="Arial"/>
          <w:i/>
          <w:sz w:val="24"/>
          <w:szCs w:val="24"/>
        </w:rPr>
        <w:t>Tylko jedna odpowiedź jest prawidłowa.</w:t>
      </w:r>
    </w:p>
    <w:p w:rsidR="00862895" w:rsidRPr="0026611C" w:rsidRDefault="00862895" w:rsidP="0026611C">
      <w:pPr>
        <w:pStyle w:val="Tekstpodstawowy1"/>
        <w:shd w:val="clear" w:color="auto" w:fill="auto"/>
        <w:spacing w:after="501" w:line="400" w:lineRule="exact"/>
        <w:ind w:left="20" w:firstLine="0"/>
        <w:rPr>
          <w:rFonts w:ascii="Arial" w:hAnsi="Arial" w:cs="Arial"/>
          <w:i/>
          <w:sz w:val="24"/>
          <w:szCs w:val="24"/>
        </w:rPr>
      </w:pPr>
      <w:r w:rsidRPr="00DC3502">
        <w:rPr>
          <w:rStyle w:val="BodytextTimesNewRoman115pt"/>
          <w:rFonts w:ascii="Arial" w:eastAsia="Tahoma" w:hAnsi="Arial" w:cs="Arial"/>
          <w:i/>
          <w:sz w:val="24"/>
          <w:szCs w:val="24"/>
        </w:rPr>
        <w:t xml:space="preserve">Za </w:t>
      </w:r>
      <w:r w:rsidRPr="00DC3502">
        <w:rPr>
          <w:rFonts w:ascii="Arial" w:hAnsi="Arial" w:cs="Arial"/>
          <w:i/>
          <w:sz w:val="24"/>
          <w:szCs w:val="24"/>
        </w:rPr>
        <w:t>każdą poprawną odpowiedź uzyskuje się 1 punkt.</w:t>
      </w:r>
    </w:p>
    <w:p w:rsidR="00862895" w:rsidRDefault="00862895" w:rsidP="00862895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34AD3">
        <w:rPr>
          <w:rFonts w:ascii="Arial" w:hAnsi="Arial" w:cs="Arial"/>
          <w:b/>
          <w:sz w:val="24"/>
          <w:szCs w:val="24"/>
        </w:rPr>
        <w:t xml:space="preserve">Zgodnie z Kodeksem karnym </w:t>
      </w:r>
      <w:r w:rsidR="00D34AD3">
        <w:rPr>
          <w:rFonts w:ascii="Arial" w:hAnsi="Arial" w:cs="Arial"/>
          <w:b/>
          <w:sz w:val="24"/>
          <w:szCs w:val="24"/>
        </w:rPr>
        <w:t>s</w:t>
      </w:r>
      <w:r w:rsidRPr="00D34AD3">
        <w:rPr>
          <w:rFonts w:ascii="Arial" w:hAnsi="Arial" w:cs="Arial"/>
          <w:b/>
          <w:sz w:val="24"/>
          <w:szCs w:val="24"/>
        </w:rPr>
        <w:t xml:space="preserve">ąd wymierza karę za usiłowanie dokonania przestępstwa: </w:t>
      </w:r>
    </w:p>
    <w:p w:rsidR="00E27662" w:rsidRPr="00D34AD3" w:rsidRDefault="00E27662" w:rsidP="00E27662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E27662">
      <w:pPr>
        <w:pStyle w:val="Akapitzlist"/>
        <w:numPr>
          <w:ilvl w:val="0"/>
          <w:numId w:val="23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w granicach zagrożenia przewidzianego dla danego przestępstwa, ale stosując nadzwyczajne złagodzenie kary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A325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862895" w:rsidRPr="004A3250" w:rsidRDefault="00862895" w:rsidP="00E27662">
      <w:pPr>
        <w:pStyle w:val="Akapitzlist"/>
        <w:numPr>
          <w:ilvl w:val="0"/>
          <w:numId w:val="23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w granicach zagrożenia przewidzianego dla danego przestępstwa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E27662">
      <w:pPr>
        <w:pStyle w:val="Akapitzlist"/>
        <w:numPr>
          <w:ilvl w:val="0"/>
          <w:numId w:val="23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zamiast wymierzenia kary warunkowo umarza postępowanie</w:t>
      </w:r>
      <w:r w:rsidR="00D34AD3" w:rsidRPr="004A3250">
        <w:rPr>
          <w:rFonts w:ascii="Arial" w:hAnsi="Arial" w:cs="Arial"/>
          <w:sz w:val="24"/>
          <w:szCs w:val="24"/>
        </w:rPr>
        <w:t>.</w:t>
      </w:r>
    </w:p>
    <w:p w:rsidR="00862895" w:rsidRPr="004A3250" w:rsidRDefault="00862895" w:rsidP="00862895">
      <w:pPr>
        <w:pStyle w:val="Akapitzlist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ind w:left="1440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karnym kara pozbawienia wolności trwa:</w:t>
      </w:r>
    </w:p>
    <w:p w:rsidR="00E27662" w:rsidRPr="004A3250" w:rsidRDefault="00E27662" w:rsidP="00E27662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E27662">
      <w:pPr>
        <w:pStyle w:val="Akapitzlist"/>
        <w:numPr>
          <w:ilvl w:val="0"/>
          <w:numId w:val="3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najkrócej miesiąc, najdłużej 15 lat; wymierza się ją w miesiącach i latach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E27662">
      <w:pPr>
        <w:pStyle w:val="Akapitzlist"/>
        <w:numPr>
          <w:ilvl w:val="0"/>
          <w:numId w:val="3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najkrócej 3 miesiące, najdłużej 25 lat; wymierza się ją w miesiącach i latach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E27662">
      <w:pPr>
        <w:pStyle w:val="Akapitzlist"/>
        <w:numPr>
          <w:ilvl w:val="0"/>
          <w:numId w:val="3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najkrócej miesiąc, najdłużej 20 lat; wymierza się ją w miesiącach i latach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862895" w:rsidRPr="004A3250" w:rsidRDefault="00862895" w:rsidP="00862895">
      <w:pPr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karnym, znieważenie innej osoby w jej obecności 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albo choćby pod jej nieobecność, lecz publicznie lub w zamiarze, aby zniewaga do osoby tej dotarła,</w:t>
      </w:r>
      <w:r w:rsidRPr="004A3250">
        <w:rPr>
          <w:rFonts w:ascii="Arial" w:hAnsi="Arial" w:cs="Arial"/>
          <w:b/>
          <w:sz w:val="24"/>
          <w:szCs w:val="24"/>
        </w:rPr>
        <w:t xml:space="preserve"> jest przestępstwem ściganym:</w:t>
      </w:r>
    </w:p>
    <w:p w:rsidR="00662218" w:rsidRPr="004A3250" w:rsidRDefault="00662218" w:rsidP="00662218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E27662">
      <w:pPr>
        <w:pStyle w:val="Akapitzlist"/>
        <w:numPr>
          <w:ilvl w:val="0"/>
          <w:numId w:val="24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oskarżenia publicznego</w:t>
      </w:r>
      <w:r w:rsidR="00D34AD3" w:rsidRPr="004A3250">
        <w:rPr>
          <w:rFonts w:ascii="Arial" w:hAnsi="Arial" w:cs="Arial"/>
          <w:sz w:val="24"/>
          <w:szCs w:val="24"/>
        </w:rPr>
        <w:t>,</w:t>
      </w:r>
    </w:p>
    <w:p w:rsidR="00862895" w:rsidRPr="004A3250" w:rsidRDefault="00862895" w:rsidP="00E27662">
      <w:pPr>
        <w:pStyle w:val="Akapitzlist"/>
        <w:numPr>
          <w:ilvl w:val="0"/>
          <w:numId w:val="24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oskarżenia prywatnego</w:t>
      </w:r>
      <w:r w:rsidR="00D34AD3" w:rsidRPr="004A3250">
        <w:rPr>
          <w:rFonts w:ascii="Arial" w:hAnsi="Arial" w:cs="Arial"/>
          <w:sz w:val="24"/>
          <w:szCs w:val="24"/>
        </w:rPr>
        <w:t>,</w:t>
      </w:r>
    </w:p>
    <w:p w:rsidR="00862895" w:rsidRPr="004A3250" w:rsidRDefault="00862895" w:rsidP="00E27662">
      <w:pPr>
        <w:pStyle w:val="Akapitzlist"/>
        <w:numPr>
          <w:ilvl w:val="0"/>
          <w:numId w:val="24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urzędu po złożeniu wniosku przez pokrzywdzonego</w:t>
      </w:r>
      <w:r w:rsidR="00D34AD3" w:rsidRPr="004A3250">
        <w:rPr>
          <w:rFonts w:ascii="Arial" w:hAnsi="Arial" w:cs="Arial"/>
          <w:sz w:val="24"/>
          <w:szCs w:val="24"/>
        </w:rPr>
        <w:t>.</w:t>
      </w:r>
    </w:p>
    <w:p w:rsidR="00862895" w:rsidRPr="004A3250" w:rsidRDefault="00862895" w:rsidP="00862895">
      <w:pPr>
        <w:pStyle w:val="Akapitzlist"/>
        <w:rPr>
          <w:rFonts w:ascii="Arial" w:hAnsi="Arial" w:cs="Arial"/>
          <w:sz w:val="24"/>
          <w:szCs w:val="24"/>
        </w:rPr>
      </w:pPr>
    </w:p>
    <w:p w:rsidR="00862895" w:rsidRPr="004A3250" w:rsidRDefault="00862895" w:rsidP="00D34AD3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karnym środek karny zakazu prowadzenia wszelkich pojazdów 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 xml:space="preserve">mechanicznych </w:t>
      </w:r>
      <w:r w:rsidR="00D34AD3" w:rsidRPr="004A3250">
        <w:rPr>
          <w:rFonts w:ascii="Arial" w:hAnsi="Arial" w:cs="Arial"/>
          <w:b/>
          <w:sz w:val="24"/>
          <w:szCs w:val="24"/>
          <w:shd w:val="clear" w:color="auto" w:fill="FFFFFF"/>
        </w:rPr>
        <w:t>s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ąd orzeka w razie skazania za przestępstwo określone w:</w:t>
      </w:r>
      <w:r w:rsidRPr="004A3250">
        <w:rPr>
          <w:rFonts w:ascii="Arial" w:hAnsi="Arial" w:cs="Arial"/>
          <w:b/>
          <w:sz w:val="24"/>
          <w:szCs w:val="24"/>
        </w:rPr>
        <w:t xml:space="preserve"> </w:t>
      </w:r>
    </w:p>
    <w:p w:rsidR="00662218" w:rsidRPr="004A3250" w:rsidRDefault="00662218" w:rsidP="00662218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27"/>
        </w:numPr>
        <w:shd w:val="clear" w:color="auto" w:fill="FFFFFF"/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art. 178b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 [Niedostosowanie się do polecenia zatrzymania pojazdu mechanicznego] </w:t>
      </w:r>
      <w:r w:rsidRPr="004A3250">
        <w:rPr>
          <w:rFonts w:ascii="Arial" w:hAnsi="Arial" w:cs="Arial"/>
          <w:sz w:val="24"/>
          <w:szCs w:val="24"/>
        </w:rPr>
        <w:t xml:space="preserve">lub art. 180a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>[Prowadzenie pojazdu po cofnięciu uprawnień]</w:t>
      </w:r>
      <w:r w:rsidRPr="004A3250">
        <w:rPr>
          <w:rFonts w:ascii="Arial" w:hAnsi="Arial" w:cs="Arial"/>
          <w:sz w:val="24"/>
          <w:szCs w:val="24"/>
        </w:rPr>
        <w:t xml:space="preserve"> oraz art. 244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> [Niestosowanie się do orzeczonych środków karnych]</w:t>
      </w:r>
      <w:r w:rsidRPr="004A3250">
        <w:rPr>
          <w:rFonts w:ascii="Arial" w:hAnsi="Arial" w:cs="Arial"/>
          <w:sz w:val="24"/>
          <w:szCs w:val="24"/>
        </w:rPr>
        <w:t>, jeżeli czyn sprawcy polegał na niezastosowaniu się do zakazu prowadzenia pojazdów mechanicznych</w:t>
      </w:r>
      <w:r w:rsidR="00D34AD3" w:rsidRPr="004A3250">
        <w:rPr>
          <w:rFonts w:ascii="Arial" w:hAnsi="Arial" w:cs="Arial"/>
          <w:sz w:val="24"/>
          <w:szCs w:val="24"/>
        </w:rPr>
        <w:t>,</w:t>
      </w:r>
    </w:p>
    <w:p w:rsidR="00862895" w:rsidRPr="004A3250" w:rsidRDefault="00862895" w:rsidP="00662218">
      <w:pPr>
        <w:pStyle w:val="Akapitzlist"/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art. 178b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 [Niedostosowanie się do polecenia zatrzymania pojazdu mechanicznego] </w:t>
      </w:r>
      <w:r w:rsidRPr="004A3250">
        <w:rPr>
          <w:rFonts w:ascii="Arial" w:hAnsi="Arial" w:cs="Arial"/>
          <w:sz w:val="24"/>
          <w:szCs w:val="24"/>
        </w:rPr>
        <w:t xml:space="preserve"> i art. 180a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>[Prowadzenie pojazdu po cofnięciu uprawnień]</w:t>
      </w:r>
      <w:r w:rsidR="00D34AD3" w:rsidRPr="004A3250">
        <w:rPr>
          <w:rFonts w:ascii="Arial" w:hAnsi="Arial" w:cs="Arial"/>
          <w:bCs/>
          <w:sz w:val="24"/>
          <w:szCs w:val="24"/>
          <w:shd w:val="clear" w:color="auto" w:fill="FFFFFF"/>
        </w:rPr>
        <w:t>,</w:t>
      </w:r>
      <w:r w:rsidRPr="004A3250">
        <w:rPr>
          <w:rFonts w:ascii="Arial" w:hAnsi="Arial" w:cs="Arial"/>
          <w:sz w:val="24"/>
          <w:szCs w:val="24"/>
        </w:rPr>
        <w:t xml:space="preserve">  </w:t>
      </w:r>
    </w:p>
    <w:p w:rsidR="00862895" w:rsidRPr="004A3250" w:rsidRDefault="00862895" w:rsidP="00662218">
      <w:pPr>
        <w:pStyle w:val="Akapitzlist"/>
        <w:numPr>
          <w:ilvl w:val="0"/>
          <w:numId w:val="27"/>
        </w:numPr>
        <w:shd w:val="clear" w:color="auto" w:fill="FFFFFF"/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art. 178a § 1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>[Prowadzenie pojazdu w stanie nietrzeźwości lub pod wpływem środka odurzającego]</w:t>
      </w:r>
      <w:r w:rsidRPr="004A3250">
        <w:rPr>
          <w:rFonts w:ascii="Arial" w:hAnsi="Arial" w:cs="Arial"/>
          <w:sz w:val="24"/>
          <w:szCs w:val="24"/>
        </w:rPr>
        <w:t xml:space="preserve"> oraz  art. 244 k.k. </w:t>
      </w:r>
      <w:r w:rsidRPr="004A3250">
        <w:rPr>
          <w:rFonts w:ascii="Arial" w:hAnsi="Arial" w:cs="Arial"/>
          <w:bCs/>
          <w:sz w:val="24"/>
          <w:szCs w:val="24"/>
          <w:shd w:val="clear" w:color="auto" w:fill="FFFFFF"/>
        </w:rPr>
        <w:t> [Niestosowanie się do orzeczonych środków karnych]</w:t>
      </w:r>
      <w:r w:rsidRPr="004A3250">
        <w:rPr>
          <w:rFonts w:ascii="Arial" w:hAnsi="Arial" w:cs="Arial"/>
          <w:sz w:val="24"/>
          <w:szCs w:val="24"/>
        </w:rPr>
        <w:t>, jeżeli czyn sprawcy polegał na niezastosowaniu się do zakazu prowadzenia pojazdów mechanicznych</w:t>
      </w:r>
      <w:r w:rsidR="00D34AD3" w:rsidRPr="004A3250">
        <w:rPr>
          <w:rFonts w:ascii="Arial" w:hAnsi="Arial" w:cs="Arial"/>
          <w:sz w:val="24"/>
          <w:szCs w:val="24"/>
        </w:rPr>
        <w:t>.</w:t>
      </w:r>
    </w:p>
    <w:p w:rsidR="00862895" w:rsidRPr="004A3250" w:rsidRDefault="00862895" w:rsidP="00862895">
      <w:pPr>
        <w:pStyle w:val="Akapitzlist"/>
        <w:ind w:left="1320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ind w:left="1320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karnym w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arunkowego umorzenia nie stosuje się do sprawcy przestępstwa zagrożonego:</w:t>
      </w:r>
    </w:p>
    <w:p w:rsidR="00662218" w:rsidRPr="004A3250" w:rsidRDefault="00662218" w:rsidP="00662218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28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karą przekraczającą 3 lata pozbawienia wolności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662218">
      <w:pPr>
        <w:pStyle w:val="Akapitzlist"/>
        <w:numPr>
          <w:ilvl w:val="0"/>
          <w:numId w:val="28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karą przekraczającą 8 lat pozbawienia wolności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662218">
      <w:pPr>
        <w:pStyle w:val="Akapitzlist"/>
        <w:numPr>
          <w:ilvl w:val="0"/>
          <w:numId w:val="28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karą przekraczającą 5 lat pozbawienia wolności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862895" w:rsidRPr="004A3250" w:rsidRDefault="00862895" w:rsidP="00862895">
      <w:pPr>
        <w:rPr>
          <w:rFonts w:ascii="Arial" w:hAnsi="Arial" w:cs="Arial"/>
          <w:sz w:val="24"/>
          <w:szCs w:val="24"/>
        </w:rPr>
      </w:pPr>
    </w:p>
    <w:p w:rsidR="00862895" w:rsidRPr="004A3250" w:rsidRDefault="00862895" w:rsidP="00D34AD3">
      <w:pPr>
        <w:pStyle w:val="Akapitzlist"/>
        <w:numPr>
          <w:ilvl w:val="0"/>
          <w:numId w:val="22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w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 xml:space="preserve"> postępowaniu karnym oskarżony musi mieć obrońcę, jeżeli: </w:t>
      </w:r>
    </w:p>
    <w:p w:rsidR="00662218" w:rsidRPr="004A3250" w:rsidRDefault="00662218" w:rsidP="00662218">
      <w:pPr>
        <w:pStyle w:val="Akapitzlist"/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25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nie ukończył 18 lat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662218">
      <w:pPr>
        <w:pStyle w:val="Akapitzlist"/>
        <w:numPr>
          <w:ilvl w:val="0"/>
          <w:numId w:val="25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nie ukończył 20 lat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862895" w:rsidRPr="004A3250" w:rsidRDefault="00862895" w:rsidP="00662218">
      <w:pPr>
        <w:pStyle w:val="Akapitzlist"/>
        <w:numPr>
          <w:ilvl w:val="0"/>
          <w:numId w:val="25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nie ukończył 21 lat</w:t>
      </w:r>
      <w:r w:rsidR="00D34AD3" w:rsidRPr="004A3250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862895" w:rsidRPr="004A3250" w:rsidRDefault="00862895" w:rsidP="00662218">
      <w:pPr>
        <w:pStyle w:val="Akapitzlist"/>
        <w:ind w:left="1440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862895" w:rsidRPr="004A3250" w:rsidRDefault="00862895" w:rsidP="00862895">
      <w:pPr>
        <w:pStyle w:val="Akapitzlist"/>
        <w:ind w:left="1440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spacing w:after="200" w:line="276" w:lineRule="auto"/>
        <w:ind w:left="786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postępowania karnego, gdy ustawa stanowi, że sprawca nie podlega karze: </w:t>
      </w:r>
    </w:p>
    <w:p w:rsidR="00662218" w:rsidRPr="004A3250" w:rsidRDefault="00662218" w:rsidP="00662218">
      <w:pPr>
        <w:pStyle w:val="Akapitzlist"/>
        <w:spacing w:after="200" w:line="276" w:lineRule="auto"/>
        <w:ind w:left="786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26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postępowanie zawiesza się do czasu ustania przeszkody</w:t>
      </w:r>
      <w:r w:rsidR="00D34AD3" w:rsidRPr="004A3250">
        <w:rPr>
          <w:rFonts w:ascii="Arial" w:hAnsi="Arial" w:cs="Arial"/>
          <w:sz w:val="24"/>
          <w:szCs w:val="24"/>
        </w:rPr>
        <w:t>,</w:t>
      </w: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862895" w:rsidRPr="004A3250" w:rsidRDefault="00862895" w:rsidP="00662218">
      <w:pPr>
        <w:pStyle w:val="Akapitzlist"/>
        <w:numPr>
          <w:ilvl w:val="0"/>
          <w:numId w:val="26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lastRenderedPageBreak/>
        <w:t>nie wszczyna się postępowania, a wszczęte umarza, </w:t>
      </w:r>
    </w:p>
    <w:p w:rsidR="00862895" w:rsidRPr="004A3250" w:rsidRDefault="00862895" w:rsidP="00662218">
      <w:pPr>
        <w:pStyle w:val="Akapitzlist"/>
        <w:numPr>
          <w:ilvl w:val="0"/>
          <w:numId w:val="26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odmawia się wszczęcia postępowania</w:t>
      </w:r>
      <w:r w:rsidR="00D34AD3" w:rsidRPr="004A3250">
        <w:rPr>
          <w:rFonts w:ascii="Arial" w:hAnsi="Arial" w:cs="Arial"/>
          <w:sz w:val="24"/>
          <w:szCs w:val="24"/>
        </w:rPr>
        <w:t>.</w:t>
      </w:r>
      <w:r w:rsidRPr="004A3250">
        <w:rPr>
          <w:rFonts w:ascii="Arial" w:hAnsi="Arial" w:cs="Arial"/>
          <w:sz w:val="24"/>
          <w:szCs w:val="24"/>
        </w:rPr>
        <w:t xml:space="preserve">  </w:t>
      </w:r>
    </w:p>
    <w:p w:rsidR="00862895" w:rsidRPr="004A3250" w:rsidRDefault="00862895" w:rsidP="00862895">
      <w:pPr>
        <w:pStyle w:val="Akapitzlist"/>
        <w:ind w:left="1440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ind w:left="1440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z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ażalenie na postanowienie w przedmiocie środka zapobiegawczego: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240" w:after="0" w:line="36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sąd rozpoznaje w ciągu miesiąca czasu</w:t>
      </w:r>
      <w:r w:rsidR="00662218" w:rsidRPr="004A3250">
        <w:rPr>
          <w:rFonts w:ascii="Arial" w:hAnsi="Arial" w:cs="Arial"/>
          <w:sz w:val="24"/>
          <w:szCs w:val="24"/>
        </w:rPr>
        <w:t>,</w:t>
      </w: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862895" w:rsidRPr="004A3250" w:rsidRDefault="00862895" w:rsidP="0066221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240" w:after="0" w:line="36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sąd rozpoznaje w terminie nie dłuższym niż 14 dni</w:t>
      </w:r>
      <w:r w:rsidR="00662218" w:rsidRPr="004A3250">
        <w:rPr>
          <w:rFonts w:ascii="Arial" w:hAnsi="Arial" w:cs="Arial"/>
          <w:sz w:val="24"/>
          <w:szCs w:val="24"/>
        </w:rPr>
        <w:t>,</w:t>
      </w:r>
      <w:r w:rsidRPr="004A3250">
        <w:rPr>
          <w:rFonts w:ascii="Arial" w:hAnsi="Arial" w:cs="Arial"/>
          <w:sz w:val="24"/>
          <w:szCs w:val="24"/>
        </w:rPr>
        <w:t xml:space="preserve">  </w:t>
      </w:r>
    </w:p>
    <w:p w:rsidR="00862895" w:rsidRPr="004A3250" w:rsidRDefault="00862895" w:rsidP="00662218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before="240" w:after="0" w:line="36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sąd rozpoznaje  niezwłocznie</w:t>
      </w:r>
      <w:r w:rsidR="00662218" w:rsidRPr="004A3250">
        <w:rPr>
          <w:rFonts w:ascii="Arial" w:hAnsi="Arial" w:cs="Arial"/>
          <w:sz w:val="24"/>
          <w:szCs w:val="24"/>
        </w:rPr>
        <w:t>.</w:t>
      </w: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862895" w:rsidRPr="004A3250" w:rsidRDefault="00862895" w:rsidP="00862895">
      <w:pPr>
        <w:pStyle w:val="Akapitzlist"/>
        <w:autoSpaceDE w:val="0"/>
        <w:autoSpaceDN w:val="0"/>
        <w:adjustRightInd w:val="0"/>
        <w:spacing w:before="240" w:after="0" w:line="240" w:lineRule="auto"/>
        <w:ind w:left="2388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autoSpaceDE w:val="0"/>
        <w:autoSpaceDN w:val="0"/>
        <w:adjustRightInd w:val="0"/>
        <w:spacing w:before="240" w:after="0" w:line="240" w:lineRule="auto"/>
        <w:ind w:left="2388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postępowania karnego </w:t>
      </w: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oskarżony, któremu zarzucono przestępstwo zagrożone karą nieprzekraczającą 15 lat pozbawienia wolności, może złożyć wniosek o wydanie wyroku skazującego i wymierzenie mu określonej kary lub środka karnego, orzeczenie przepadku lub środka kompensacyjnego bez przeprowadzania postępowania dowodowego:</w:t>
      </w:r>
    </w:p>
    <w:p w:rsidR="00862895" w:rsidRPr="004A3250" w:rsidRDefault="00862895" w:rsidP="00862895">
      <w:pPr>
        <w:pStyle w:val="Akapitzlist"/>
        <w:autoSpaceDE w:val="0"/>
        <w:autoSpaceDN w:val="0"/>
        <w:adjustRightInd w:val="0"/>
        <w:spacing w:before="240"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66221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do chwili zakończenia postępowania dowodowego</w:t>
      </w:r>
      <w:r w:rsidR="00662218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A325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862895" w:rsidRPr="004A3250" w:rsidRDefault="00862895" w:rsidP="0066221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do chwili zakończenia pierwszego przesłuchania wszystkich oskarżonych na rozprawie głównej</w:t>
      </w:r>
      <w:r w:rsidR="00662218" w:rsidRPr="004A325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A325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862895" w:rsidRPr="004A3250" w:rsidRDefault="00862895" w:rsidP="0066221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do chwili wydania wyroku</w:t>
      </w:r>
      <w:r w:rsidR="00662218" w:rsidRPr="004A3250">
        <w:rPr>
          <w:rFonts w:ascii="Arial" w:hAnsi="Arial" w:cs="Arial"/>
          <w:sz w:val="24"/>
          <w:szCs w:val="24"/>
        </w:rPr>
        <w:t>.</w:t>
      </w: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862895" w:rsidRPr="004A3250" w:rsidRDefault="00862895" w:rsidP="00862895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862895" w:rsidP="00862895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2895" w:rsidRPr="004A3250" w:rsidRDefault="00662218" w:rsidP="00862895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 </w:t>
      </w:r>
      <w:r w:rsidR="00862895" w:rsidRPr="004A3250">
        <w:rPr>
          <w:rFonts w:ascii="Arial" w:hAnsi="Arial" w:cs="Arial"/>
          <w:b/>
          <w:sz w:val="24"/>
          <w:szCs w:val="24"/>
        </w:rPr>
        <w:t xml:space="preserve">Zgodnie z Kodeksem karnym skazując za występek o charakterze chuligańskim </w:t>
      </w:r>
      <w:r w:rsidR="008C13AB" w:rsidRPr="004A3250">
        <w:rPr>
          <w:rFonts w:ascii="Arial" w:hAnsi="Arial" w:cs="Arial"/>
          <w:b/>
          <w:sz w:val="24"/>
          <w:szCs w:val="24"/>
        </w:rPr>
        <w:t>sąd wymierza karę przewidzianą za przypisane sprawcy przestępstwo w wysokości: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13AB" w:rsidRPr="004A3250" w:rsidRDefault="008C13AB" w:rsidP="0066221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 niższej od dolnej granicy ustawowego zagrożenia zwiększonego o połowę,</w:t>
      </w:r>
    </w:p>
    <w:p w:rsidR="008C13AB" w:rsidRPr="004A3250" w:rsidRDefault="008C13AB" w:rsidP="0066221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 niższej od dolnej granicy ustawowego zagrożenia zwiększonego o 2/3,</w:t>
      </w:r>
    </w:p>
    <w:p w:rsidR="008C13AB" w:rsidRPr="004A3250" w:rsidRDefault="008C13AB" w:rsidP="0066221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wyższej od górnej granicy ustawowego zagrożenia</w:t>
      </w:r>
      <w:r w:rsidR="0002638D" w:rsidRPr="004A3250">
        <w:rPr>
          <w:rFonts w:ascii="Arial" w:hAnsi="Arial" w:cs="Arial"/>
          <w:sz w:val="24"/>
          <w:szCs w:val="24"/>
        </w:rPr>
        <w:t xml:space="preserve"> </w:t>
      </w:r>
      <w:r w:rsidR="004653F7">
        <w:rPr>
          <w:rFonts w:ascii="Arial" w:hAnsi="Arial" w:cs="Arial"/>
          <w:sz w:val="24"/>
          <w:szCs w:val="24"/>
        </w:rPr>
        <w:t xml:space="preserve">zwiększonego </w:t>
      </w:r>
      <w:r w:rsidR="0002638D" w:rsidRPr="004A3250">
        <w:rPr>
          <w:rFonts w:ascii="Arial" w:hAnsi="Arial" w:cs="Arial"/>
          <w:sz w:val="24"/>
          <w:szCs w:val="24"/>
        </w:rPr>
        <w:t>o połowę</w:t>
      </w:r>
      <w:r w:rsidRPr="004A3250">
        <w:rPr>
          <w:rFonts w:ascii="Arial" w:hAnsi="Arial" w:cs="Arial"/>
          <w:sz w:val="24"/>
          <w:szCs w:val="24"/>
        </w:rPr>
        <w:t>.</w:t>
      </w:r>
    </w:p>
    <w:p w:rsidR="008C13AB" w:rsidRPr="004A3250" w:rsidRDefault="008C13AB" w:rsidP="008C13AB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13AB" w:rsidRPr="004A3250" w:rsidRDefault="008C13AB" w:rsidP="008C13AB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218" w:rsidRPr="004A3250" w:rsidRDefault="008C13AB" w:rsidP="0066221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karnym sąd może odstąpić od wymierzenia kary, jeżeli orzeka jednocześnie środek karny, przepadek lub środek </w:t>
      </w:r>
      <w:r w:rsidR="00A70338" w:rsidRPr="004A3250">
        <w:rPr>
          <w:rFonts w:ascii="Arial" w:hAnsi="Arial" w:cs="Arial"/>
          <w:b/>
          <w:sz w:val="24"/>
          <w:szCs w:val="24"/>
        </w:rPr>
        <w:t>kompensacyjny, a cele kary zostaną w ten sposób spełnione jeżeli: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70338" w:rsidRPr="004A3250" w:rsidRDefault="00A70338" w:rsidP="0066221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przestępstwo jest zagrożone karą pozbawienia wolności nieprzekraczającą 8 lat pozbawienia wolności albo karą łagodniejszego rodzaju i społeczna szkodliwość czynu nie jest znaczna,</w:t>
      </w:r>
    </w:p>
    <w:p w:rsidR="00A70338" w:rsidRPr="004A3250" w:rsidRDefault="00A70338" w:rsidP="0066221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lastRenderedPageBreak/>
        <w:t>przestępstwo jest zagrożone karą pozbawienia wolności nieprzekraczającą 5 lat pozbawienia wolności albo karą łagodniejszego rodzaju i społeczna szkodliwość czynu nie jest znaczna,</w:t>
      </w:r>
    </w:p>
    <w:p w:rsidR="00A70338" w:rsidRPr="004A3250" w:rsidRDefault="00A70338" w:rsidP="00662218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przestępstwo jest zagrożone karą pozbawienia wolności nieprzekraczającą 3 lat pozbawienia wolności albo karą łagodniejszego rodzaju i społeczna szkodliwość czynu nie jest znaczna.</w:t>
      </w:r>
    </w:p>
    <w:p w:rsidR="00A70338" w:rsidRPr="004A3250" w:rsidRDefault="00A70338" w:rsidP="00A70338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A70338" w:rsidRPr="004A3250" w:rsidRDefault="00A70338" w:rsidP="00A70338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A70338" w:rsidRPr="004A3250" w:rsidRDefault="00A70338" w:rsidP="00A7033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 xml:space="preserve">Zgodnie z Kodeksem karnym jeżeli sprawca skazany za przestępstwo umyślne na karę pozbawienia wolności popełnia w ciągu 5 lat po odbyciu co najmniej </w:t>
      </w:r>
      <w:r w:rsidR="00193698" w:rsidRPr="004A3250">
        <w:rPr>
          <w:rFonts w:ascii="Arial" w:hAnsi="Arial" w:cs="Arial"/>
          <w:b/>
          <w:sz w:val="24"/>
          <w:szCs w:val="24"/>
        </w:rPr>
        <w:t>6 miesięcy kary umyślne przestępstwo podobne do przestępstwa, za które został już skazany, sąd może wymierzyć karę przewidzianą za przypisane sprawcy przestępstwo w wysokości: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93698" w:rsidRPr="004A3250" w:rsidRDefault="00193698" w:rsidP="0066221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powyżej dolnej granicy ustawowego zagrożenia zwiększonej o połowę, </w:t>
      </w:r>
    </w:p>
    <w:p w:rsidR="00193698" w:rsidRPr="004A3250" w:rsidRDefault="00193698" w:rsidP="0066221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do górnej granicy ustawowego zagrożenia zwiększonej o połowę,</w:t>
      </w:r>
    </w:p>
    <w:p w:rsidR="00193698" w:rsidRPr="004A3250" w:rsidRDefault="00193698" w:rsidP="00662218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do górnej granicy ustawowego zagrożenia zwiększonej o 2/3.</w:t>
      </w:r>
    </w:p>
    <w:p w:rsidR="00B46073" w:rsidRPr="004A3250" w:rsidRDefault="00B46073" w:rsidP="00B46073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0884" w:rsidRPr="004A3250" w:rsidRDefault="00B46073" w:rsidP="00B4607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złożone wobec biegłego albo wobec lekarza udzielającego pomocy medycznej oświadczenia oskarżonego, dotyczące zarzucanego mu czynu</w:t>
      </w:r>
      <w:r w:rsidR="007F0884" w:rsidRPr="004A3250">
        <w:rPr>
          <w:rFonts w:ascii="Arial" w:hAnsi="Arial" w:cs="Arial"/>
          <w:b/>
          <w:sz w:val="24"/>
          <w:szCs w:val="24"/>
        </w:rPr>
        <w:t>:</w:t>
      </w:r>
    </w:p>
    <w:p w:rsidR="00E27662" w:rsidRPr="004A3250" w:rsidRDefault="00E27662" w:rsidP="00E27662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46073" w:rsidRPr="004A3250" w:rsidRDefault="00B46073" w:rsidP="0066221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mogą stanowić </w:t>
      </w:r>
      <w:r w:rsidR="007F0884" w:rsidRPr="004A3250">
        <w:rPr>
          <w:rFonts w:ascii="Arial" w:hAnsi="Arial" w:cs="Arial"/>
          <w:sz w:val="24"/>
          <w:szCs w:val="24"/>
        </w:rPr>
        <w:t>dowód w sprawie,</w:t>
      </w:r>
    </w:p>
    <w:p w:rsidR="007F0884" w:rsidRPr="004A3250" w:rsidRDefault="007F0884" w:rsidP="0066221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 mogą stanowić dowodu,</w:t>
      </w:r>
    </w:p>
    <w:p w:rsidR="007F0884" w:rsidRPr="004A3250" w:rsidRDefault="007F0884" w:rsidP="0066221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mogą stanowić dowód w sprawie, jeśli oskarżony wyrazi na to zgodę.</w:t>
      </w:r>
    </w:p>
    <w:p w:rsidR="007F0884" w:rsidRPr="004A3250" w:rsidRDefault="007F0884" w:rsidP="007F0884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0884" w:rsidRPr="004A3250" w:rsidRDefault="000A3FC8" w:rsidP="007F088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w sprawie zawiłej albo z innych ważnych powodów sąd 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3FC8" w:rsidRPr="004A3250" w:rsidRDefault="000A3FC8" w:rsidP="0066221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może odroczyć wydanie wyroku na czas nieprzekraczający 21 dni,</w:t>
      </w:r>
    </w:p>
    <w:p w:rsidR="000A3FC8" w:rsidRPr="004A3250" w:rsidRDefault="000A3FC8" w:rsidP="0066221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może odroczyć wydanie wyroku na czas nieprzekraczający 14 dni,</w:t>
      </w:r>
    </w:p>
    <w:p w:rsidR="000A3FC8" w:rsidRPr="004A3250" w:rsidRDefault="000A3FC8" w:rsidP="0066221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 może odroczyć wydania wyroku.</w:t>
      </w:r>
    </w:p>
    <w:p w:rsidR="000A3FC8" w:rsidRPr="004A3250" w:rsidRDefault="000A3FC8" w:rsidP="000A3FC8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3FC8" w:rsidRPr="004A3250" w:rsidRDefault="000A3FC8" w:rsidP="000A3FC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postepowania karnego w wypadku złożenia wniosku o uzasadnienie wyroku jedynie co do rozstrzygnięcia o karze i o innych konsekwencjach prawnych czynu uzasadnienie powinno zawierać co najmniej: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3FC8" w:rsidRPr="004A3250" w:rsidRDefault="000A3FC8" w:rsidP="00662218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lastRenderedPageBreak/>
        <w:t>wyjaśnienie orzeczonej kary i środków karnych,</w:t>
      </w:r>
    </w:p>
    <w:p w:rsidR="007C668A" w:rsidRPr="004A3250" w:rsidRDefault="000A3FC8" w:rsidP="00662218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wyjaśnienie podstawy prawnej </w:t>
      </w:r>
      <w:r w:rsidR="007C668A" w:rsidRPr="004A3250">
        <w:rPr>
          <w:rFonts w:ascii="Arial" w:hAnsi="Arial" w:cs="Arial"/>
          <w:sz w:val="24"/>
          <w:szCs w:val="24"/>
        </w:rPr>
        <w:t>wyroku oraz wskazanych rozstrzygnięć,</w:t>
      </w:r>
    </w:p>
    <w:p w:rsidR="007C668A" w:rsidRPr="004A3250" w:rsidRDefault="007C668A" w:rsidP="00662218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pełne uzasadnienie bez żadnych ograniczeń.</w:t>
      </w:r>
    </w:p>
    <w:p w:rsidR="007C668A" w:rsidRPr="004A3250" w:rsidRDefault="007C668A" w:rsidP="007C668A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668A" w:rsidRPr="004A3250" w:rsidRDefault="00E27662" w:rsidP="007C668A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w</w:t>
      </w:r>
      <w:r w:rsidR="007C668A" w:rsidRPr="004A3250">
        <w:rPr>
          <w:rFonts w:ascii="Arial" w:hAnsi="Arial" w:cs="Arial"/>
          <w:b/>
          <w:sz w:val="24"/>
          <w:szCs w:val="24"/>
        </w:rPr>
        <w:t xml:space="preserve"> razie prowadzenia rozprawy niejawnej ogłoszenie wyroku odbywa się: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C668A" w:rsidRPr="004A3250" w:rsidRDefault="007C668A" w:rsidP="0066221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zawsze jawnie,</w:t>
      </w:r>
    </w:p>
    <w:p w:rsidR="007C668A" w:rsidRPr="004A3250" w:rsidRDefault="007C668A" w:rsidP="0066221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niejawnie,</w:t>
      </w:r>
    </w:p>
    <w:p w:rsidR="00DC3502" w:rsidRPr="004A3250" w:rsidRDefault="007C668A" w:rsidP="0066221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jawnie, ale dopiero na wniosek strony.  </w:t>
      </w:r>
      <w:r w:rsidR="000A3FC8" w:rsidRPr="004A3250">
        <w:rPr>
          <w:rFonts w:ascii="Arial" w:hAnsi="Arial" w:cs="Arial"/>
          <w:sz w:val="24"/>
          <w:szCs w:val="24"/>
        </w:rPr>
        <w:t xml:space="preserve">  </w:t>
      </w:r>
    </w:p>
    <w:p w:rsidR="009A102B" w:rsidRPr="004A3250" w:rsidRDefault="009A102B" w:rsidP="009A102B">
      <w:pPr>
        <w:pStyle w:val="Akapitzlist"/>
        <w:autoSpaceDE w:val="0"/>
        <w:autoSpaceDN w:val="0"/>
        <w:adjustRightInd w:val="0"/>
        <w:spacing w:before="240"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9A102B" w:rsidRPr="004A3250" w:rsidRDefault="009A102B" w:rsidP="009A102B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Zgodnie z Kodeksem postępowania karnego wydanie wyroku nakazowego jest niedopuszczalne:</w:t>
      </w:r>
    </w:p>
    <w:p w:rsidR="009A102B" w:rsidRPr="004A3250" w:rsidRDefault="009A102B" w:rsidP="009A102B">
      <w:pPr>
        <w:pStyle w:val="Akapitzlist"/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9A102B" w:rsidRPr="004A3250" w:rsidRDefault="009A102B" w:rsidP="0082100F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w sprawie z oskarżenia prywatnego,</w:t>
      </w:r>
    </w:p>
    <w:p w:rsidR="009A102B" w:rsidRPr="004A3250" w:rsidRDefault="009A102B" w:rsidP="0082100F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gdy oskarżony jest pozbawiony wolności,</w:t>
      </w:r>
    </w:p>
    <w:p w:rsidR="009A102B" w:rsidRPr="004A3250" w:rsidRDefault="009A102B" w:rsidP="0082100F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gdy </w:t>
      </w:r>
      <w:r w:rsidR="0082100F" w:rsidRPr="004A3250">
        <w:rPr>
          <w:rFonts w:ascii="Arial" w:hAnsi="Arial" w:cs="Arial"/>
          <w:sz w:val="24"/>
          <w:szCs w:val="24"/>
        </w:rPr>
        <w:t>oskarżony nie ukończył 21 lat.</w:t>
      </w:r>
    </w:p>
    <w:p w:rsidR="00DC3502" w:rsidRPr="004A3250" w:rsidRDefault="00DC3502" w:rsidP="00DC3502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b/>
        </w:rPr>
      </w:pPr>
    </w:p>
    <w:p w:rsidR="00DC3502" w:rsidRPr="004A3250" w:rsidRDefault="00DC3502" w:rsidP="00DC3502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b/>
        </w:rPr>
      </w:pPr>
    </w:p>
    <w:p w:rsidR="0082100F" w:rsidRPr="004A3250" w:rsidRDefault="0082100F" w:rsidP="004A325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 </w:t>
      </w:r>
      <w:r w:rsidRPr="004A3250">
        <w:rPr>
          <w:rFonts w:ascii="Arial" w:hAnsi="Arial" w:cs="Arial"/>
          <w:b/>
          <w:sz w:val="24"/>
          <w:szCs w:val="24"/>
        </w:rPr>
        <w:t>Zgodnie z Kodeksem post</w:t>
      </w:r>
      <w:r w:rsidR="004570E5">
        <w:rPr>
          <w:rFonts w:ascii="Arial" w:hAnsi="Arial" w:cs="Arial"/>
          <w:b/>
          <w:sz w:val="24"/>
          <w:szCs w:val="24"/>
        </w:rPr>
        <w:t>ę</w:t>
      </w:r>
      <w:r w:rsidRPr="004A3250">
        <w:rPr>
          <w:rFonts w:ascii="Arial" w:hAnsi="Arial" w:cs="Arial"/>
          <w:b/>
          <w:sz w:val="24"/>
          <w:szCs w:val="24"/>
        </w:rPr>
        <w:t xml:space="preserve">powania karnego w celu wydania opinii o stanie zdrowia psychicznego oskarżonego sąd, </w:t>
      </w:r>
      <w:r w:rsidR="004653F7">
        <w:rPr>
          <w:rFonts w:ascii="Arial" w:hAnsi="Arial" w:cs="Arial"/>
          <w:b/>
          <w:sz w:val="24"/>
          <w:szCs w:val="24"/>
        </w:rPr>
        <w:t xml:space="preserve">a </w:t>
      </w:r>
      <w:r w:rsidRPr="004A3250">
        <w:rPr>
          <w:rFonts w:ascii="Arial" w:hAnsi="Arial" w:cs="Arial"/>
          <w:b/>
          <w:sz w:val="24"/>
          <w:szCs w:val="24"/>
        </w:rPr>
        <w:t>w postępowaniu przygotowawczym prokurator powołuje co najmniej:</w:t>
      </w:r>
    </w:p>
    <w:p w:rsidR="0082100F" w:rsidRPr="004A3250" w:rsidRDefault="0082100F" w:rsidP="0082100F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3250" w:rsidRPr="004A3250" w:rsidRDefault="0082100F" w:rsidP="004A325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dwóch biegłych lekarzy psychiatrów</w:t>
      </w:r>
      <w:r w:rsidR="004A3250" w:rsidRPr="004A3250">
        <w:rPr>
          <w:rFonts w:ascii="Arial" w:hAnsi="Arial" w:cs="Arial"/>
          <w:sz w:val="24"/>
          <w:szCs w:val="24"/>
        </w:rPr>
        <w:t>,</w:t>
      </w:r>
    </w:p>
    <w:p w:rsidR="004A3250" w:rsidRPr="004A3250" w:rsidRDefault="004A3250" w:rsidP="004A325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jednego biegłego lekarza psychiatrę i psychologa,</w:t>
      </w:r>
    </w:p>
    <w:p w:rsidR="004A3250" w:rsidRPr="004A3250" w:rsidRDefault="004A3250" w:rsidP="004A325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trzech biegłych lekarzy psychiatrów.</w:t>
      </w:r>
    </w:p>
    <w:p w:rsidR="004A3250" w:rsidRPr="004A3250" w:rsidRDefault="004A3250" w:rsidP="004A3250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82100F" w:rsidRPr="004A3250" w:rsidRDefault="0082100F" w:rsidP="004A3250">
      <w:pPr>
        <w:pStyle w:val="Akapitzlist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 </w:t>
      </w:r>
    </w:p>
    <w:p w:rsidR="00DE2CED" w:rsidRPr="004A3250" w:rsidRDefault="004570E5" w:rsidP="00DC3502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Sprawę</w:t>
      </w:r>
      <w:r w:rsidR="00DE2CED" w:rsidRPr="004A3250">
        <w:rPr>
          <w:rFonts w:ascii="Arial" w:hAnsi="Arial" w:cs="Arial"/>
          <w:b/>
          <w:sz w:val="24"/>
          <w:szCs w:val="24"/>
        </w:rPr>
        <w:t xml:space="preserve"> o zapłatę przedsiębiorcy przeciwko konsumentowi zobowiązanemu z weksla lub czeku można wytoczyć:</w:t>
      </w:r>
    </w:p>
    <w:p w:rsidR="00662218" w:rsidRPr="004A3250" w:rsidRDefault="00662218" w:rsidP="00662218">
      <w:pPr>
        <w:pStyle w:val="Akapitzlist"/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2CED" w:rsidRPr="004A3250" w:rsidRDefault="00DE2CED" w:rsidP="00DE2CED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przed sąd miejsca zamieszkania pozwanego,</w:t>
      </w:r>
    </w:p>
    <w:p w:rsidR="00DE2CED" w:rsidRPr="004A3250" w:rsidRDefault="00DE2CED" w:rsidP="00DE2CED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przed sąd miejsca płatności weksla lub czeku,</w:t>
      </w:r>
    </w:p>
    <w:p w:rsidR="00DE2CED" w:rsidRPr="004A3250" w:rsidRDefault="00DE2CED" w:rsidP="00DE2CED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obie odpowiedzi są prawidłowe.</w:t>
      </w:r>
    </w:p>
    <w:p w:rsidR="00DE2CED" w:rsidRPr="004A3250" w:rsidRDefault="00DE2CED" w:rsidP="00DE2CED">
      <w:pPr>
        <w:rPr>
          <w:rFonts w:ascii="Arial" w:hAnsi="Arial" w:cs="Arial"/>
          <w:sz w:val="24"/>
          <w:szCs w:val="24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  <w:t>Postanowienie o zwolnieniu od kosztów sądowych wydane na posiedzeniu niejawnym sąd doręcza: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</w:p>
    <w:p w:rsidR="00DE2CED" w:rsidRPr="004A3250" w:rsidRDefault="00DE2CED" w:rsidP="00DE2CE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z urzędu tylko stronie, która złożyła wniosek o zwolnienie od kosztów sądowych,</w:t>
      </w:r>
    </w:p>
    <w:p w:rsidR="00DE2CED" w:rsidRPr="004A3250" w:rsidRDefault="00DE2CED" w:rsidP="00DE2CE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lastRenderedPageBreak/>
        <w:t>z urzędu obu stronom,</w:t>
      </w:r>
    </w:p>
    <w:p w:rsidR="00DE2CED" w:rsidRPr="004A3250" w:rsidRDefault="00DE2CED" w:rsidP="00DE2CED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tylko na wniosek strony.</w:t>
      </w:r>
    </w:p>
    <w:p w:rsidR="00DE2CED" w:rsidRPr="004A3250" w:rsidRDefault="00DE2CED" w:rsidP="00DE2C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  <w:t>Sąd w dniu 6 stycznia 2023 roku wydał postanowienie o zawieszeniu postępowania cywilnego na podstawie art. 177 § 1 pkt 6 k.p.c. (niewskazanie przez powoda w wyznaczonym terminie adresu pozwanego). Postanowienie uprawomocniło się w dniu 20 lutego 2023 roku. Sąd umorzy postępowanie, jeśli wniosek o podjęcie postępowania nie został zgłoszony: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</w:p>
    <w:p w:rsidR="00DE2CED" w:rsidRPr="004A3250" w:rsidRDefault="00DE2CED" w:rsidP="00DE2CE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do dnia 6 kwietnia 2023 roku</w:t>
      </w:r>
    </w:p>
    <w:p w:rsidR="00DE2CED" w:rsidRPr="004A3250" w:rsidRDefault="00DE2CED" w:rsidP="00DE2CE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do dnia 20 maja 2023 roku</w:t>
      </w:r>
    </w:p>
    <w:p w:rsidR="00DE2CED" w:rsidRPr="004A3250" w:rsidRDefault="00DE2CED" w:rsidP="00DE2CE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do dnia 20 sierpnia 2023 roku</w:t>
      </w:r>
    </w:p>
    <w:p w:rsidR="00DE2CED" w:rsidRPr="004A3250" w:rsidRDefault="00DE2CED" w:rsidP="00DE2CE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Wyrok zaoczny uwzględniający powództwo w całości:</w:t>
      </w:r>
    </w:p>
    <w:p w:rsidR="00DE2CED" w:rsidRPr="004A3250" w:rsidRDefault="00DE2CED" w:rsidP="00DE2CE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uzasadnia z urzędu – gdyż jest to wyrok zaoczny,</w:t>
      </w:r>
    </w:p>
    <w:p w:rsidR="00DE2CED" w:rsidRPr="004A3250" w:rsidRDefault="00DE2CED" w:rsidP="00DE2CE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uzasadnia jedynie na wniosek powoda</w:t>
      </w:r>
    </w:p>
    <w:p w:rsidR="00DE2CED" w:rsidRPr="004A3250" w:rsidRDefault="00DE2CED" w:rsidP="00DE2CE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nie uzasadnia takiego wyroku - odrzuca wniosek o sporządzenie uzasadnienia jako niedopuszczalny.</w:t>
      </w:r>
    </w:p>
    <w:p w:rsidR="00DE2CED" w:rsidRPr="004A3250" w:rsidRDefault="00DE2CED" w:rsidP="00DE2CED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Zażalenie na postanowienie, którego przedmiotem jest odmowa uzasadnienia wyroku sądu I instancji oraz jego doręczenia przysługuje do: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DE2CED" w:rsidRPr="004A3250" w:rsidRDefault="00DE2CED" w:rsidP="00DE2C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innego składu sądu pierwszej instancji,</w:t>
      </w:r>
    </w:p>
    <w:p w:rsidR="00DE2CED" w:rsidRPr="004A3250" w:rsidRDefault="00DE2CED" w:rsidP="00DE2C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sądu drugiej instancji,</w:t>
      </w:r>
    </w:p>
    <w:p w:rsidR="00DE2CED" w:rsidRPr="004A3250" w:rsidRDefault="00DE2CED" w:rsidP="00DE2C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obie odpowiedzi są prawidłowe.</w:t>
      </w:r>
    </w:p>
    <w:p w:rsidR="00DE2CED" w:rsidRPr="004A3250" w:rsidRDefault="00DE2CED" w:rsidP="00DE2CE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  <w:r w:rsidRPr="004A3250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  <w:t>Termin do wniesienia zarzutów od nakazu zapłaty wydanego w postępowaniu nakazowym – jeśli doręczenie nakazu zapłaty ma mieć miejsce na terenie Niemiec wynosi: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</w:p>
    <w:p w:rsidR="00DE2CED" w:rsidRPr="004A3250" w:rsidRDefault="00DE2CED" w:rsidP="00DE2CE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lang w:eastAsia="pl-PL"/>
        </w:rPr>
        <w:t>dwa tygodnie od dnia doręczenia nakazu,</w:t>
      </w:r>
    </w:p>
    <w:p w:rsidR="00DE2CED" w:rsidRPr="004A3250" w:rsidRDefault="00DE2CED" w:rsidP="00DE2CE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lang w:eastAsia="pl-PL"/>
        </w:rPr>
        <w:t>miesiąc od dnia doręczenia nakazu,</w:t>
      </w:r>
    </w:p>
    <w:p w:rsidR="00DE2CED" w:rsidRPr="004A3250" w:rsidRDefault="00DE2CED" w:rsidP="00DE2CED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sz w:val="24"/>
          <w:szCs w:val="24"/>
          <w:lang w:eastAsia="pl-PL"/>
        </w:rPr>
        <w:t>trzy miesiące od dnia doręczenia nakazu.</w:t>
      </w:r>
    </w:p>
    <w:p w:rsidR="00DE2CED" w:rsidRPr="004A3250" w:rsidRDefault="00DE2CED" w:rsidP="00DE2CED">
      <w:pPr>
        <w:rPr>
          <w:rFonts w:ascii="Arial" w:hAnsi="Arial" w:cs="Arial"/>
          <w:sz w:val="24"/>
          <w:szCs w:val="24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W sprawach o naruszenie posiadania:</w:t>
      </w:r>
    </w:p>
    <w:p w:rsidR="00662218" w:rsidRPr="004A3250" w:rsidRDefault="00662218" w:rsidP="00662218">
      <w:pPr>
        <w:pStyle w:val="Akapitzlist"/>
        <w:rPr>
          <w:rFonts w:ascii="Arial" w:hAnsi="Arial" w:cs="Arial"/>
          <w:b/>
          <w:sz w:val="24"/>
          <w:szCs w:val="24"/>
        </w:rPr>
      </w:pPr>
    </w:p>
    <w:p w:rsidR="00DE2CED" w:rsidRPr="004A3250" w:rsidRDefault="00DE2CED" w:rsidP="00DE2CED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lastRenderedPageBreak/>
        <w:t>powództwo wzajemne można wytoczyć</w:t>
      </w:r>
      <w:r w:rsidRPr="004A3250">
        <w:rPr>
          <w:rFonts w:ascii="Arial" w:hAnsi="Arial" w:cs="Arial"/>
          <w:sz w:val="24"/>
          <w:szCs w:val="24"/>
          <w:shd w:val="clear" w:color="auto" w:fill="FFFFFF"/>
        </w:rPr>
        <w:t xml:space="preserve"> nie później niż w odpowiedzi na pozew, a jeżeli jej nie złożono - w sprzeciwie od wyroku zaocznego albo przy rozpoczęciu pierwszego posiedzenia, o którym zawiadomiono albo na które wezwano pozwanego.</w:t>
      </w:r>
    </w:p>
    <w:p w:rsidR="00DE2CED" w:rsidRPr="004A3250" w:rsidRDefault="00DE2CED" w:rsidP="00DE2CED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powództwo wzajemne można wytoczyć jedynie w odpowiedzi na pozew,</w:t>
      </w:r>
    </w:p>
    <w:p w:rsidR="00DE2CED" w:rsidRPr="004A3250" w:rsidRDefault="00DE2CED" w:rsidP="00DE2CED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powództwo wzajemne jest niedopuszczalne</w:t>
      </w:r>
    </w:p>
    <w:p w:rsidR="00DC3502" w:rsidRPr="004A3250" w:rsidRDefault="00DC3502" w:rsidP="00DC3502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Postanowienie wydane na posiedzeniu niejawnym wskutek rozpoznania skargi na czynności komornika: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DE2CED" w:rsidRPr="004A3250" w:rsidRDefault="00DE2CED" w:rsidP="00DE2CE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uzasadnia zawsze z urzędu,</w:t>
      </w:r>
    </w:p>
    <w:p w:rsidR="00DE2CED" w:rsidRPr="004A3250" w:rsidRDefault="00DE2CED" w:rsidP="00DE2CE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uzasadnia z urzędu, gdy stronie przysługuje środek zaskarżenia, chyba że przepis szczególny stanowi inaczej,</w:t>
      </w:r>
    </w:p>
    <w:p w:rsidR="00DE2CED" w:rsidRPr="004662A4" w:rsidRDefault="00DE2CED" w:rsidP="00DE2CE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sąd uzasadnia na wniosek strony.</w:t>
      </w:r>
    </w:p>
    <w:p w:rsidR="00DE2CED" w:rsidRPr="004A3250" w:rsidRDefault="00DE2CED" w:rsidP="00DE2CED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Roszczenie osoby fizycznej przeciwko innej osobie fizycznej o zapłatę z tytułu bezpodstawnego wzbogacenia, które stało się wymagalne z dniem 3 marca 2016 roku przedawnia się: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DE2CED" w:rsidRPr="004A3250" w:rsidRDefault="00DE2CED" w:rsidP="00DE2CE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dniem 3 marca 2026 roku,</w:t>
      </w:r>
    </w:p>
    <w:p w:rsidR="00DE2CED" w:rsidRPr="004A3250" w:rsidRDefault="00DE2CED" w:rsidP="00DE2CE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dniem 31 grudnia 2026 roku,</w:t>
      </w:r>
    </w:p>
    <w:p w:rsidR="00DC3502" w:rsidRPr="004A3250" w:rsidRDefault="00DE2CED" w:rsidP="00DC350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 dniem 3 marca 2022 roku.</w:t>
      </w:r>
    </w:p>
    <w:p w:rsidR="00DC3502" w:rsidRPr="004A3250" w:rsidRDefault="00DC3502" w:rsidP="00DC3502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Jeżeli ojcostwo rodzica spadkodawcy (który nie miał dzieci) nie zostało ustalone, a przy życiu pozostała małżonka, matka spadkodawcy oraz siostra spadkodawcy to:</w:t>
      </w:r>
    </w:p>
    <w:p w:rsidR="00E27662" w:rsidRPr="004A3250" w:rsidRDefault="00E27662" w:rsidP="00E27662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E2CED" w:rsidRPr="004A3250" w:rsidRDefault="00DE2CED" w:rsidP="00DE2CE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spadek dziedziczy małżonka – w 1/2 części, matka - w 1/4 części oraz siostra w 1/4 części,</w:t>
      </w:r>
    </w:p>
    <w:p w:rsidR="00DE2CED" w:rsidRPr="004A3250" w:rsidRDefault="00DE2CED" w:rsidP="00DE2CE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spadek dziedziczy małżonka, matka oraz siostra – po 1/3 części każdy z nich, </w:t>
      </w:r>
    </w:p>
    <w:p w:rsidR="00DE2CED" w:rsidRPr="004A3250" w:rsidRDefault="00DE2CED" w:rsidP="00DE2CE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spadek dziedziczy małżonka oraz matka spadkodawcy – każda w 1/2 części. </w:t>
      </w:r>
    </w:p>
    <w:p w:rsidR="00DE2CED" w:rsidRPr="004A3250" w:rsidRDefault="00DE2CED" w:rsidP="00DE2CED">
      <w:pPr>
        <w:rPr>
          <w:rFonts w:ascii="Arial" w:hAnsi="Arial" w:cs="Arial"/>
          <w:sz w:val="24"/>
          <w:szCs w:val="24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Zasiedzenie w stosunku do małoletniego właściciela:</w:t>
      </w:r>
    </w:p>
    <w:p w:rsidR="00DE2CED" w:rsidRPr="004A3250" w:rsidRDefault="00DE2CED" w:rsidP="00DE2CED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nie może skończyć się wcześniej niż z upływem dwóch lat od uzyskania przez właściciela pełnoletności</w:t>
      </w:r>
      <w:r w:rsidR="00E27662" w:rsidRPr="004A3250">
        <w:rPr>
          <w:rFonts w:ascii="Arial" w:hAnsi="Arial" w:cs="Arial"/>
          <w:sz w:val="24"/>
          <w:szCs w:val="24"/>
        </w:rPr>
        <w:t>,</w:t>
      </w:r>
    </w:p>
    <w:p w:rsidR="00DE2CED" w:rsidRPr="004A3250" w:rsidRDefault="00DE2CED" w:rsidP="00DE2CED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lastRenderedPageBreak/>
        <w:t>nie może skończyć się wcześniej niż z upływem uzyskania przez właściciela pełnoletności</w:t>
      </w:r>
      <w:r w:rsidR="00E27662" w:rsidRPr="004A3250">
        <w:rPr>
          <w:rFonts w:ascii="Arial" w:hAnsi="Arial" w:cs="Arial"/>
          <w:sz w:val="24"/>
          <w:szCs w:val="24"/>
        </w:rPr>
        <w:t>,</w:t>
      </w:r>
    </w:p>
    <w:p w:rsidR="00DE2CED" w:rsidRPr="004A3250" w:rsidRDefault="00DE2CED" w:rsidP="00DE2CED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wiek właściciela nie ma wpływu na bieg terminu zasiedzenia.</w:t>
      </w:r>
    </w:p>
    <w:p w:rsidR="00DE2CED" w:rsidRPr="004A3250" w:rsidRDefault="00DE2CED" w:rsidP="00DE2CED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Zamiany służebności osobistej na rentę może żądać:</w:t>
      </w:r>
    </w:p>
    <w:p w:rsidR="00DE2CED" w:rsidRPr="004A3250" w:rsidRDefault="00DE2CED" w:rsidP="00DE2CED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właściciel nieruchomości i uprawniony z tytułu służebności</w:t>
      </w:r>
      <w:r w:rsidR="00E27662"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:rsidR="00DE2CED" w:rsidRPr="004A3250" w:rsidRDefault="00DE2CED" w:rsidP="00DE2CED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tylko właściciel nieruchomości</w:t>
      </w:r>
      <w:r w:rsidR="00E27662"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:rsidR="00DE2CED" w:rsidRPr="004A3250" w:rsidRDefault="00DE2CED" w:rsidP="00DE2CED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tylko uprawniony z tytułu służebności</w:t>
      </w:r>
      <w:r w:rsidR="00E27662" w:rsidRPr="004A3250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DE2CED" w:rsidRPr="004A3250" w:rsidRDefault="00DE2CED" w:rsidP="00DE2CED">
      <w:pPr>
        <w:rPr>
          <w:rFonts w:ascii="Arial" w:hAnsi="Arial" w:cs="Arial"/>
          <w:sz w:val="24"/>
          <w:szCs w:val="24"/>
        </w:rPr>
      </w:pPr>
    </w:p>
    <w:p w:rsidR="00DE2CED" w:rsidRPr="004A3250" w:rsidRDefault="00DE2CED" w:rsidP="00E2766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Roszczenie o zadośćuczynienie w razie uszkodzenia ciała lub wywołania rozstroju zdrowia</w:t>
      </w:r>
      <w:r w:rsidR="00E27662" w:rsidRPr="004A3250">
        <w:rPr>
          <w:rFonts w:ascii="Arial" w:hAnsi="Arial" w:cs="Arial"/>
          <w:b/>
          <w:sz w:val="24"/>
          <w:szCs w:val="24"/>
          <w:shd w:val="clear" w:color="auto" w:fill="FFFFFF"/>
        </w:rPr>
        <w:t>:</w:t>
      </w:r>
    </w:p>
    <w:p w:rsidR="00E27662" w:rsidRPr="004A3250" w:rsidRDefault="00E27662" w:rsidP="00E27662">
      <w:pPr>
        <w:pStyle w:val="Akapitzlist"/>
        <w:spacing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DE2CED" w:rsidRPr="004A3250" w:rsidRDefault="00DE2CED" w:rsidP="00DE2CED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przechodzi na spadkobierców tylko wtedy, gdy zostało uznane na piśmie albo gdy powództwo zostało wytoczone za życia poszkodowanego,</w:t>
      </w:r>
    </w:p>
    <w:p w:rsidR="00DE2CED" w:rsidRPr="004A3250" w:rsidRDefault="00DE2CED" w:rsidP="00DE2CED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nigdy nie przechodzi na spadkobierców,</w:t>
      </w:r>
    </w:p>
    <w:p w:rsidR="00DE2CED" w:rsidRPr="004A3250" w:rsidRDefault="00DE2CED" w:rsidP="00DE2CED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zawsze przechodzi na spadkobierców, gdyż jest dziedziczne.</w:t>
      </w:r>
    </w:p>
    <w:p w:rsidR="00DC3502" w:rsidRPr="004A3250" w:rsidRDefault="00DC3502" w:rsidP="00DC350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Jeżeli nie zastrzeżono terminu gwarancji to wynosi on:</w:t>
      </w:r>
    </w:p>
    <w:p w:rsidR="00DE2CED" w:rsidRPr="004A3250" w:rsidRDefault="00DE2CED" w:rsidP="00DE2CE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rok od dnia wydania rzeczy</w:t>
      </w:r>
      <w:r w:rsidR="00E27662" w:rsidRPr="004A3250">
        <w:rPr>
          <w:rFonts w:ascii="Arial" w:hAnsi="Arial" w:cs="Arial"/>
          <w:sz w:val="24"/>
          <w:szCs w:val="24"/>
        </w:rPr>
        <w:t>,</w:t>
      </w:r>
    </w:p>
    <w:p w:rsidR="00DE2CED" w:rsidRPr="004A3250" w:rsidRDefault="00DE2CED" w:rsidP="00DE2CE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dwa lata od dnia wydania rzeczy,</w:t>
      </w:r>
    </w:p>
    <w:p w:rsidR="00DE2CED" w:rsidRPr="004A3250" w:rsidRDefault="00DE2CED" w:rsidP="00DE2CE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trzy lata od dnia wydania rzeczy. </w:t>
      </w:r>
    </w:p>
    <w:p w:rsidR="00DC3502" w:rsidRPr="004A3250" w:rsidRDefault="00DC3502" w:rsidP="00DC350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Testament może być sporządzony:</w:t>
      </w:r>
    </w:p>
    <w:p w:rsidR="00DE2CED" w:rsidRPr="004A3250" w:rsidRDefault="00DE2CED" w:rsidP="00DE2CED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jedynie przez osobę pełnoletnią mającą pełn</w:t>
      </w:r>
      <w:r w:rsidR="004570E5">
        <w:rPr>
          <w:rFonts w:ascii="Arial" w:hAnsi="Arial" w:cs="Arial"/>
          <w:sz w:val="24"/>
          <w:szCs w:val="24"/>
        </w:rPr>
        <w:t>ą</w:t>
      </w:r>
      <w:r w:rsidRPr="004A3250">
        <w:rPr>
          <w:rFonts w:ascii="Arial" w:hAnsi="Arial" w:cs="Arial"/>
          <w:sz w:val="24"/>
          <w:szCs w:val="24"/>
        </w:rPr>
        <w:t xml:space="preserve"> zdolność do czynności prawnych,</w:t>
      </w:r>
    </w:p>
    <w:p w:rsidR="00DE2CED" w:rsidRPr="004A3250" w:rsidRDefault="00DE2CED" w:rsidP="00DE2CED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przez osobę pełnoletnią mającą pełną zdolność do czynności prawnych lub przez pełnomocnika tej osoby, </w:t>
      </w:r>
    </w:p>
    <w:p w:rsidR="00DE2CED" w:rsidRPr="004A3250" w:rsidRDefault="00DE2CED" w:rsidP="00DE2CED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także przez kuratora – jeśli osoba nie ma pełnej zdolności do czynności prawnych.</w:t>
      </w:r>
    </w:p>
    <w:p w:rsidR="00DC3502" w:rsidRPr="004A3250" w:rsidRDefault="00DC3502" w:rsidP="00DC350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Umowa o dział spadku:</w:t>
      </w:r>
    </w:p>
    <w:p w:rsidR="00DE2CED" w:rsidRPr="004A3250" w:rsidRDefault="00DE2CED" w:rsidP="00DE2CED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zawsze musi być zawarta w formie aktu notarialnego,</w:t>
      </w:r>
    </w:p>
    <w:p w:rsidR="00DE2CED" w:rsidRPr="004A3250" w:rsidRDefault="00DE2CED" w:rsidP="00DE2CED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zawsze musi być zawarta w formie pisemnej pod rygorem nieważności</w:t>
      </w:r>
    </w:p>
    <w:p w:rsidR="00DE2CED" w:rsidRPr="004A3250" w:rsidRDefault="00DE2CED" w:rsidP="00DE2CED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powinna być zawarta w formie aktu notarialnego, jeśli w skład spadku wchodzi nieruchomość.</w:t>
      </w:r>
    </w:p>
    <w:p w:rsidR="00DC3502" w:rsidRPr="004A3250" w:rsidRDefault="00DC3502" w:rsidP="00DC350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204F" w:rsidRDefault="008E204F" w:rsidP="008E204F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E204F">
        <w:rPr>
          <w:rFonts w:ascii="Arial" w:hAnsi="Arial" w:cs="Arial"/>
          <w:b/>
          <w:sz w:val="24"/>
          <w:szCs w:val="24"/>
        </w:rPr>
        <w:t>W razie niestawiennictwa na rozprawie prawidłowo wezwanego uczestnika w sprawie o zasiedzenie:</w:t>
      </w:r>
    </w:p>
    <w:p w:rsidR="008E204F" w:rsidRPr="008E204F" w:rsidRDefault="008E204F" w:rsidP="008E204F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204F">
        <w:rPr>
          <w:rFonts w:ascii="Arial" w:hAnsi="Arial" w:cs="Arial"/>
          <w:sz w:val="24"/>
          <w:szCs w:val="24"/>
        </w:rPr>
        <w:t>sąd może wydać orzeczenie zaoczne,</w:t>
      </w:r>
    </w:p>
    <w:p w:rsidR="008E204F" w:rsidRPr="008E204F" w:rsidRDefault="008E204F" w:rsidP="008E204F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204F">
        <w:rPr>
          <w:rFonts w:ascii="Arial" w:hAnsi="Arial" w:cs="Arial"/>
          <w:sz w:val="24"/>
          <w:szCs w:val="24"/>
        </w:rPr>
        <w:t>niestawiennictwo nie tamuje rozpoznania sprawy,</w:t>
      </w:r>
    </w:p>
    <w:p w:rsidR="008E204F" w:rsidRPr="008E204F" w:rsidRDefault="008E204F" w:rsidP="008E204F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E204F">
        <w:rPr>
          <w:rFonts w:ascii="Arial" w:hAnsi="Arial" w:cs="Arial"/>
          <w:sz w:val="24"/>
          <w:szCs w:val="24"/>
        </w:rPr>
        <w:t>sąd może zawiesić z tego powodu postępowanie.</w:t>
      </w:r>
    </w:p>
    <w:p w:rsidR="00DE2CED" w:rsidRPr="004A3250" w:rsidRDefault="00DE2CED" w:rsidP="00DE2CED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DE2CED" w:rsidRPr="004A3250" w:rsidRDefault="00DE2CED" w:rsidP="00DC350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b/>
          <w:sz w:val="24"/>
          <w:szCs w:val="24"/>
          <w:shd w:val="clear" w:color="auto" w:fill="FFFFFF"/>
        </w:rPr>
        <w:t>Powództwo o odszkodowanie przeciwko członkowi organu spółki za szkodę wyrządzoną spółce działaniem lub zaniechaniem sprzecznym z prawem lub postanowieniami umowy spółki wytacza się:</w:t>
      </w:r>
    </w:p>
    <w:p w:rsidR="00DE2CED" w:rsidRPr="004A3250" w:rsidRDefault="00DE2CED" w:rsidP="00DE2CE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według miejsca zamieszkania pozwanego,</w:t>
      </w:r>
    </w:p>
    <w:p w:rsidR="00DE2CED" w:rsidRPr="004A3250" w:rsidRDefault="00DE2CED" w:rsidP="00DE2CE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według miejsca siedziby spółki,</w:t>
      </w:r>
    </w:p>
    <w:p w:rsidR="00DE2CED" w:rsidRPr="004A3250" w:rsidRDefault="00DE2CED" w:rsidP="00DE2CE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3250">
        <w:rPr>
          <w:rFonts w:ascii="Arial" w:hAnsi="Arial" w:cs="Arial"/>
          <w:sz w:val="24"/>
          <w:szCs w:val="24"/>
          <w:shd w:val="clear" w:color="auto" w:fill="FFFFFF"/>
        </w:rPr>
        <w:t>obie odpowiedzi są prawidłowe.</w:t>
      </w:r>
    </w:p>
    <w:p w:rsidR="00DC3502" w:rsidRPr="004A3250" w:rsidRDefault="00DC3502" w:rsidP="00DC3502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C3502" w:rsidRPr="004A3250" w:rsidRDefault="00DC3502" w:rsidP="004A3250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DE2CED" w:rsidRPr="004A3250" w:rsidRDefault="00DE2CED" w:rsidP="00DE2CED">
      <w:pPr>
        <w:spacing w:line="360" w:lineRule="auto"/>
        <w:jc w:val="both"/>
        <w:rPr>
          <w:rFonts w:ascii="Arial" w:hAnsi="Arial" w:cs="Arial"/>
        </w:rPr>
      </w:pPr>
    </w:p>
    <w:p w:rsidR="00DC3502" w:rsidRDefault="00DC3502" w:rsidP="00DC3502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b/>
          <w:sz w:val="24"/>
          <w:szCs w:val="24"/>
        </w:rPr>
        <w:t>Tematy pracy pisemnej:</w:t>
      </w:r>
    </w:p>
    <w:p w:rsidR="00C87F28" w:rsidRPr="0026611C" w:rsidRDefault="0026611C" w:rsidP="00DC3502">
      <w:pPr>
        <w:spacing w:line="360" w:lineRule="auto"/>
        <w:ind w:firstLine="708"/>
        <w:jc w:val="both"/>
        <w:rPr>
          <w:rFonts w:ascii="Arial" w:hAnsi="Arial" w:cs="Arial"/>
          <w:i/>
        </w:rPr>
      </w:pPr>
      <w:r w:rsidRPr="0026611C">
        <w:rPr>
          <w:rFonts w:ascii="Arial" w:hAnsi="Arial" w:cs="Arial"/>
          <w:i/>
        </w:rPr>
        <w:t xml:space="preserve">Kandydat wybiera </w:t>
      </w:r>
      <w:r w:rsidRPr="0026611C">
        <w:rPr>
          <w:rFonts w:ascii="Arial" w:hAnsi="Arial" w:cs="Arial"/>
          <w:i/>
          <w:u w:val="single"/>
        </w:rPr>
        <w:t>jeden</w:t>
      </w:r>
      <w:r w:rsidRPr="0026611C">
        <w:rPr>
          <w:rFonts w:ascii="Arial" w:hAnsi="Arial" w:cs="Arial"/>
          <w:i/>
        </w:rPr>
        <w:t xml:space="preserve"> z dwóch tematów pracy pisemnej. Pracę pisemną komisja ocenia w skali od 0 do 9 punktów.</w:t>
      </w:r>
    </w:p>
    <w:p w:rsidR="0026611C" w:rsidRPr="0026611C" w:rsidRDefault="0026611C" w:rsidP="00DC350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D34AD3" w:rsidRPr="004A3250" w:rsidRDefault="00D34AD3" w:rsidP="0026611C">
      <w:pPr>
        <w:pStyle w:val="Akapitzlist"/>
        <w:numPr>
          <w:ilvl w:val="0"/>
          <w:numId w:val="40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 xml:space="preserve">Omów przesłanki zatarcia skazania.      </w:t>
      </w:r>
    </w:p>
    <w:p w:rsidR="00DE2CED" w:rsidRPr="004A3250" w:rsidRDefault="00DE2CED" w:rsidP="0026611C">
      <w:pPr>
        <w:pStyle w:val="Akapitzlist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A3250">
        <w:rPr>
          <w:rFonts w:ascii="Arial" w:hAnsi="Arial" w:cs="Arial"/>
          <w:sz w:val="24"/>
          <w:szCs w:val="24"/>
        </w:rPr>
        <w:t>Umowy dotyczące spadku w ustawie Kodeks cywilny.</w:t>
      </w:r>
    </w:p>
    <w:p w:rsidR="00EC0F43" w:rsidRPr="004A3250" w:rsidRDefault="00EC0F43" w:rsidP="0026611C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EC0F43" w:rsidRPr="004A3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77F84"/>
    <w:multiLevelType w:val="hybridMultilevel"/>
    <w:tmpl w:val="97C6EFEC"/>
    <w:lvl w:ilvl="0" w:tplc="E0F24BBC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046BD"/>
    <w:multiLevelType w:val="hybridMultilevel"/>
    <w:tmpl w:val="0F76988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CF2D90"/>
    <w:multiLevelType w:val="hybridMultilevel"/>
    <w:tmpl w:val="B532CCB0"/>
    <w:lvl w:ilvl="0" w:tplc="8D707896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067018CE"/>
    <w:multiLevelType w:val="hybridMultilevel"/>
    <w:tmpl w:val="B532CCB0"/>
    <w:lvl w:ilvl="0" w:tplc="8D707896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09401BCA"/>
    <w:multiLevelType w:val="hybridMultilevel"/>
    <w:tmpl w:val="8618A606"/>
    <w:lvl w:ilvl="0" w:tplc="E40054EE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65D17"/>
    <w:multiLevelType w:val="hybridMultilevel"/>
    <w:tmpl w:val="411431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879E7"/>
    <w:multiLevelType w:val="hybridMultilevel"/>
    <w:tmpl w:val="9D949E52"/>
    <w:lvl w:ilvl="0" w:tplc="DDF6E5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D0372C"/>
    <w:multiLevelType w:val="hybridMultilevel"/>
    <w:tmpl w:val="0BD066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E00FE"/>
    <w:multiLevelType w:val="hybridMultilevel"/>
    <w:tmpl w:val="4608EED0"/>
    <w:lvl w:ilvl="0" w:tplc="108057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4F7C80"/>
    <w:multiLevelType w:val="hybridMultilevel"/>
    <w:tmpl w:val="B30434C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D1A40"/>
    <w:multiLevelType w:val="hybridMultilevel"/>
    <w:tmpl w:val="D54E9302"/>
    <w:lvl w:ilvl="0" w:tplc="C4F200FA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" w15:restartNumberingAfterBreak="0">
    <w:nsid w:val="148308F0"/>
    <w:multiLevelType w:val="hybridMultilevel"/>
    <w:tmpl w:val="C8D4E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E79B2"/>
    <w:multiLevelType w:val="hybridMultilevel"/>
    <w:tmpl w:val="EA4E53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10630"/>
    <w:multiLevelType w:val="hybridMultilevel"/>
    <w:tmpl w:val="4EEAD220"/>
    <w:lvl w:ilvl="0" w:tplc="A21A5A7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2073C"/>
    <w:multiLevelType w:val="hybridMultilevel"/>
    <w:tmpl w:val="18CC9232"/>
    <w:lvl w:ilvl="0" w:tplc="C19AB5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070127B"/>
    <w:multiLevelType w:val="hybridMultilevel"/>
    <w:tmpl w:val="C61EF0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37BDA"/>
    <w:multiLevelType w:val="hybridMultilevel"/>
    <w:tmpl w:val="87B23D36"/>
    <w:lvl w:ilvl="0" w:tplc="47747F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2B5955"/>
    <w:multiLevelType w:val="hybridMultilevel"/>
    <w:tmpl w:val="2118E37A"/>
    <w:lvl w:ilvl="0" w:tplc="89483A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CC5E8D"/>
    <w:multiLevelType w:val="hybridMultilevel"/>
    <w:tmpl w:val="F104E54A"/>
    <w:lvl w:ilvl="0" w:tplc="07B87238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A116D0"/>
    <w:multiLevelType w:val="hybridMultilevel"/>
    <w:tmpl w:val="A9FEFC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1F2A05"/>
    <w:multiLevelType w:val="hybridMultilevel"/>
    <w:tmpl w:val="86260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5719D"/>
    <w:multiLevelType w:val="hybridMultilevel"/>
    <w:tmpl w:val="6596BC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C82B41"/>
    <w:multiLevelType w:val="hybridMultilevel"/>
    <w:tmpl w:val="9D88E604"/>
    <w:lvl w:ilvl="0" w:tplc="F8DA5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6868B8"/>
    <w:multiLevelType w:val="hybridMultilevel"/>
    <w:tmpl w:val="FEC448C2"/>
    <w:lvl w:ilvl="0" w:tplc="9D80D004">
      <w:start w:val="1"/>
      <w:numFmt w:val="lowerLetter"/>
      <w:lvlText w:val="%1."/>
      <w:lvlJc w:val="left"/>
      <w:pPr>
        <w:ind w:left="2388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3108" w:hanging="360"/>
      </w:pPr>
    </w:lvl>
    <w:lvl w:ilvl="2" w:tplc="0415001B" w:tentative="1">
      <w:start w:val="1"/>
      <w:numFmt w:val="lowerRoman"/>
      <w:lvlText w:val="%3."/>
      <w:lvlJc w:val="right"/>
      <w:pPr>
        <w:ind w:left="3828" w:hanging="180"/>
      </w:pPr>
    </w:lvl>
    <w:lvl w:ilvl="3" w:tplc="0415000F" w:tentative="1">
      <w:start w:val="1"/>
      <w:numFmt w:val="decimal"/>
      <w:lvlText w:val="%4."/>
      <w:lvlJc w:val="left"/>
      <w:pPr>
        <w:ind w:left="4548" w:hanging="360"/>
      </w:pPr>
    </w:lvl>
    <w:lvl w:ilvl="4" w:tplc="04150019" w:tentative="1">
      <w:start w:val="1"/>
      <w:numFmt w:val="lowerLetter"/>
      <w:lvlText w:val="%5."/>
      <w:lvlJc w:val="left"/>
      <w:pPr>
        <w:ind w:left="5268" w:hanging="360"/>
      </w:pPr>
    </w:lvl>
    <w:lvl w:ilvl="5" w:tplc="0415001B" w:tentative="1">
      <w:start w:val="1"/>
      <w:numFmt w:val="lowerRoman"/>
      <w:lvlText w:val="%6."/>
      <w:lvlJc w:val="right"/>
      <w:pPr>
        <w:ind w:left="5988" w:hanging="180"/>
      </w:pPr>
    </w:lvl>
    <w:lvl w:ilvl="6" w:tplc="0415000F" w:tentative="1">
      <w:start w:val="1"/>
      <w:numFmt w:val="decimal"/>
      <w:lvlText w:val="%7."/>
      <w:lvlJc w:val="left"/>
      <w:pPr>
        <w:ind w:left="6708" w:hanging="360"/>
      </w:pPr>
    </w:lvl>
    <w:lvl w:ilvl="7" w:tplc="04150019" w:tentative="1">
      <w:start w:val="1"/>
      <w:numFmt w:val="lowerLetter"/>
      <w:lvlText w:val="%8."/>
      <w:lvlJc w:val="left"/>
      <w:pPr>
        <w:ind w:left="7428" w:hanging="360"/>
      </w:pPr>
    </w:lvl>
    <w:lvl w:ilvl="8" w:tplc="0415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4" w15:restartNumberingAfterBreak="0">
    <w:nsid w:val="49CA2068"/>
    <w:multiLevelType w:val="hybridMultilevel"/>
    <w:tmpl w:val="0F08E4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C3602"/>
    <w:multiLevelType w:val="hybridMultilevel"/>
    <w:tmpl w:val="C454850A"/>
    <w:lvl w:ilvl="0" w:tplc="4E1E28A4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30034"/>
    <w:multiLevelType w:val="hybridMultilevel"/>
    <w:tmpl w:val="A4BE8F04"/>
    <w:lvl w:ilvl="0" w:tplc="238ACA3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807D8"/>
    <w:multiLevelType w:val="hybridMultilevel"/>
    <w:tmpl w:val="21AC0F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B7B8E"/>
    <w:multiLevelType w:val="hybridMultilevel"/>
    <w:tmpl w:val="2DA68B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500A3"/>
    <w:multiLevelType w:val="hybridMultilevel"/>
    <w:tmpl w:val="6A0E03EC"/>
    <w:lvl w:ilvl="0" w:tplc="13B465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1C1574"/>
    <w:multiLevelType w:val="hybridMultilevel"/>
    <w:tmpl w:val="78A4BC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2401CD9"/>
    <w:multiLevelType w:val="hybridMultilevel"/>
    <w:tmpl w:val="847AD402"/>
    <w:lvl w:ilvl="0" w:tplc="9064B5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1C0D97"/>
    <w:multiLevelType w:val="hybridMultilevel"/>
    <w:tmpl w:val="A55087AE"/>
    <w:lvl w:ilvl="0" w:tplc="C6FA08A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807DE6"/>
    <w:multiLevelType w:val="hybridMultilevel"/>
    <w:tmpl w:val="EC86759C"/>
    <w:lvl w:ilvl="0" w:tplc="A9301B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862170"/>
    <w:multiLevelType w:val="hybridMultilevel"/>
    <w:tmpl w:val="2A6602E6"/>
    <w:lvl w:ilvl="0" w:tplc="37307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D4325F"/>
    <w:multiLevelType w:val="hybridMultilevel"/>
    <w:tmpl w:val="C6482E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21A17"/>
    <w:multiLevelType w:val="hybridMultilevel"/>
    <w:tmpl w:val="CCC07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6D532F"/>
    <w:multiLevelType w:val="hybridMultilevel"/>
    <w:tmpl w:val="3EC095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D715B"/>
    <w:multiLevelType w:val="hybridMultilevel"/>
    <w:tmpl w:val="F25694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5C0753"/>
    <w:multiLevelType w:val="hybridMultilevel"/>
    <w:tmpl w:val="3A5641A8"/>
    <w:lvl w:ilvl="0" w:tplc="35EAB502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C74C3F"/>
    <w:multiLevelType w:val="hybridMultilevel"/>
    <w:tmpl w:val="59BC1ACE"/>
    <w:lvl w:ilvl="0" w:tplc="BA4806BE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F809E4"/>
    <w:multiLevelType w:val="hybridMultilevel"/>
    <w:tmpl w:val="5B265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D69D4"/>
    <w:multiLevelType w:val="hybridMultilevel"/>
    <w:tmpl w:val="FB52FEEC"/>
    <w:lvl w:ilvl="0" w:tplc="5F3E2B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AA847B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B66AAB"/>
    <w:multiLevelType w:val="hybridMultilevel"/>
    <w:tmpl w:val="042C76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24"/>
  </w:num>
  <w:num w:numId="3">
    <w:abstractNumId w:val="25"/>
  </w:num>
  <w:num w:numId="4">
    <w:abstractNumId w:val="0"/>
  </w:num>
  <w:num w:numId="5">
    <w:abstractNumId w:val="12"/>
  </w:num>
  <w:num w:numId="6">
    <w:abstractNumId w:val="38"/>
  </w:num>
  <w:num w:numId="7">
    <w:abstractNumId w:val="15"/>
  </w:num>
  <w:num w:numId="8">
    <w:abstractNumId w:val="5"/>
  </w:num>
  <w:num w:numId="9">
    <w:abstractNumId w:val="27"/>
  </w:num>
  <w:num w:numId="10">
    <w:abstractNumId w:val="35"/>
  </w:num>
  <w:num w:numId="11">
    <w:abstractNumId w:val="4"/>
  </w:num>
  <w:num w:numId="12">
    <w:abstractNumId w:val="37"/>
  </w:num>
  <w:num w:numId="13">
    <w:abstractNumId w:val="41"/>
  </w:num>
  <w:num w:numId="14">
    <w:abstractNumId w:val="11"/>
  </w:num>
  <w:num w:numId="15">
    <w:abstractNumId w:val="28"/>
  </w:num>
  <w:num w:numId="16">
    <w:abstractNumId w:val="7"/>
  </w:num>
  <w:num w:numId="17">
    <w:abstractNumId w:val="40"/>
  </w:num>
  <w:num w:numId="18">
    <w:abstractNumId w:val="18"/>
  </w:num>
  <w:num w:numId="19">
    <w:abstractNumId w:val="39"/>
  </w:num>
  <w:num w:numId="20">
    <w:abstractNumId w:val="36"/>
  </w:num>
  <w:num w:numId="21">
    <w:abstractNumId w:val="10"/>
  </w:num>
  <w:num w:numId="22">
    <w:abstractNumId w:val="42"/>
  </w:num>
  <w:num w:numId="23">
    <w:abstractNumId w:val="1"/>
  </w:num>
  <w:num w:numId="24">
    <w:abstractNumId w:val="43"/>
  </w:num>
  <w:num w:numId="25">
    <w:abstractNumId w:val="19"/>
  </w:num>
  <w:num w:numId="26">
    <w:abstractNumId w:val="30"/>
  </w:num>
  <w:num w:numId="27">
    <w:abstractNumId w:val="3"/>
  </w:num>
  <w:num w:numId="28">
    <w:abstractNumId w:val="33"/>
  </w:num>
  <w:num w:numId="29">
    <w:abstractNumId w:val="23"/>
  </w:num>
  <w:num w:numId="30">
    <w:abstractNumId w:val="2"/>
  </w:num>
  <w:num w:numId="31">
    <w:abstractNumId w:val="13"/>
  </w:num>
  <w:num w:numId="32">
    <w:abstractNumId w:val="22"/>
  </w:num>
  <w:num w:numId="33">
    <w:abstractNumId w:val="9"/>
  </w:num>
  <w:num w:numId="34">
    <w:abstractNumId w:val="14"/>
  </w:num>
  <w:num w:numId="35">
    <w:abstractNumId w:val="8"/>
  </w:num>
  <w:num w:numId="36">
    <w:abstractNumId w:val="31"/>
  </w:num>
  <w:num w:numId="37">
    <w:abstractNumId w:val="17"/>
  </w:num>
  <w:num w:numId="38">
    <w:abstractNumId w:val="16"/>
  </w:num>
  <w:num w:numId="39">
    <w:abstractNumId w:val="6"/>
  </w:num>
  <w:num w:numId="40">
    <w:abstractNumId w:val="32"/>
  </w:num>
  <w:num w:numId="41">
    <w:abstractNumId w:val="20"/>
  </w:num>
  <w:num w:numId="42">
    <w:abstractNumId w:val="34"/>
  </w:num>
  <w:num w:numId="43">
    <w:abstractNumId w:val="29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ED"/>
    <w:rsid w:val="0002638D"/>
    <w:rsid w:val="000A3FC8"/>
    <w:rsid w:val="00193698"/>
    <w:rsid w:val="00250FB5"/>
    <w:rsid w:val="0026611C"/>
    <w:rsid w:val="00404EDA"/>
    <w:rsid w:val="004570E5"/>
    <w:rsid w:val="004653F7"/>
    <w:rsid w:val="004662A4"/>
    <w:rsid w:val="004A3250"/>
    <w:rsid w:val="004B3CCB"/>
    <w:rsid w:val="00662218"/>
    <w:rsid w:val="007C668A"/>
    <w:rsid w:val="007E0A7E"/>
    <w:rsid w:val="007F0884"/>
    <w:rsid w:val="0082100F"/>
    <w:rsid w:val="00862895"/>
    <w:rsid w:val="008C13AB"/>
    <w:rsid w:val="008E204F"/>
    <w:rsid w:val="009A102B"/>
    <w:rsid w:val="00A70338"/>
    <w:rsid w:val="00B46073"/>
    <w:rsid w:val="00C87F28"/>
    <w:rsid w:val="00D34AD3"/>
    <w:rsid w:val="00DC3502"/>
    <w:rsid w:val="00DD2699"/>
    <w:rsid w:val="00DE2CED"/>
    <w:rsid w:val="00E27662"/>
    <w:rsid w:val="00EA5A56"/>
    <w:rsid w:val="00EC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E577A-CAF9-4E67-AD12-4EF8F085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2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2CED"/>
    <w:pPr>
      <w:ind w:left="720"/>
      <w:contextualSpacing/>
    </w:pPr>
  </w:style>
  <w:style w:type="character" w:customStyle="1" w:styleId="Bodytext">
    <w:name w:val="Body text_"/>
    <w:basedOn w:val="Domylnaczcionkaakapitu"/>
    <w:link w:val="Tekstpodstawowy1"/>
    <w:rsid w:val="00862895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BodytextTimesNewRoman115pt">
    <w:name w:val="Body text + Times New Roman;11;5 pt"/>
    <w:basedOn w:val="Bodytext"/>
    <w:rsid w:val="00862895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Tekstpodstawowy1">
    <w:name w:val="Tekst podstawowy1"/>
    <w:basedOn w:val="Normalny"/>
    <w:link w:val="Bodytext"/>
    <w:rsid w:val="00862895"/>
    <w:pPr>
      <w:widowControl w:val="0"/>
      <w:shd w:val="clear" w:color="auto" w:fill="FFFFFF"/>
      <w:spacing w:after="780" w:line="0" w:lineRule="atLeast"/>
      <w:ind w:hanging="720"/>
      <w:jc w:val="both"/>
    </w:pPr>
    <w:rPr>
      <w:rFonts w:ascii="Tahoma" w:eastAsia="Tahoma" w:hAnsi="Tahoma" w:cs="Tahoma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1704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Radke Katarzyna</dc:creator>
  <cp:keywords/>
  <dc:description/>
  <cp:lastModifiedBy>Preis Halina</cp:lastModifiedBy>
  <cp:revision>2</cp:revision>
  <cp:lastPrinted>2023-05-18T06:44:00Z</cp:lastPrinted>
  <dcterms:created xsi:type="dcterms:W3CDTF">2024-04-23T08:46:00Z</dcterms:created>
  <dcterms:modified xsi:type="dcterms:W3CDTF">2024-04-23T08:46:00Z</dcterms:modified>
</cp:coreProperties>
</file>