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E2E" w:rsidRPr="009A2CB8" w:rsidRDefault="00C83E2E" w:rsidP="00C83E2E">
      <w:pPr>
        <w:jc w:val="both"/>
        <w:rPr>
          <w:rFonts w:asciiTheme="majorHAnsi" w:eastAsia="Arial Unicode MS" w:hAnsiTheme="majorHAnsi" w:cs="Arial"/>
          <w:sz w:val="24"/>
          <w:szCs w:val="24"/>
        </w:rPr>
      </w:pPr>
      <w:bookmarkStart w:id="0" w:name="_GoBack"/>
      <w:bookmarkEnd w:id="0"/>
      <w:r w:rsidRPr="009A2CB8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9A2CB8">
        <w:rPr>
          <w:rFonts w:asciiTheme="majorHAnsi" w:eastAsia="Arial Unicode MS" w:hAnsiTheme="majorHAnsi" w:cs="Arial"/>
          <w:sz w:val="24"/>
          <w:szCs w:val="24"/>
        </w:rPr>
        <w:t xml:space="preserve">Słupca, </w:t>
      </w:r>
      <w:r w:rsidR="002D2D27">
        <w:rPr>
          <w:rFonts w:asciiTheme="majorHAnsi" w:eastAsia="Arial Unicode MS" w:hAnsiTheme="majorHAnsi" w:cs="Arial"/>
          <w:sz w:val="24"/>
          <w:szCs w:val="24"/>
        </w:rPr>
        <w:t xml:space="preserve">10 listopada </w:t>
      </w:r>
      <w:r w:rsidRPr="009A2CB8">
        <w:rPr>
          <w:rFonts w:asciiTheme="majorHAnsi" w:eastAsia="Arial Unicode MS" w:hAnsiTheme="majorHAnsi" w:cs="Arial"/>
          <w:sz w:val="24"/>
          <w:szCs w:val="24"/>
        </w:rPr>
        <w:t>202</w:t>
      </w:r>
      <w:r w:rsidR="002D2D27">
        <w:rPr>
          <w:rFonts w:asciiTheme="majorHAnsi" w:eastAsia="Arial Unicode MS" w:hAnsiTheme="majorHAnsi" w:cs="Arial"/>
          <w:sz w:val="24"/>
          <w:szCs w:val="24"/>
        </w:rPr>
        <w:t>2</w:t>
      </w:r>
      <w:r w:rsidRPr="009A2CB8">
        <w:rPr>
          <w:rFonts w:asciiTheme="majorHAnsi" w:eastAsia="Arial Unicode MS" w:hAnsiTheme="majorHAnsi" w:cs="Arial"/>
          <w:sz w:val="24"/>
          <w:szCs w:val="24"/>
        </w:rPr>
        <w:t xml:space="preserve"> roku</w:t>
      </w:r>
    </w:p>
    <w:p w:rsidR="00C83E2E" w:rsidRDefault="00C83E2E" w:rsidP="00C83E2E">
      <w:pPr>
        <w:ind w:firstLine="708"/>
        <w:jc w:val="center"/>
        <w:rPr>
          <w:rFonts w:asciiTheme="majorHAnsi" w:eastAsia="Arial Unicode MS" w:hAnsiTheme="majorHAnsi" w:cs="Arial"/>
          <w:sz w:val="28"/>
          <w:szCs w:val="28"/>
        </w:rPr>
      </w:pPr>
    </w:p>
    <w:p w:rsidR="00C83E2E" w:rsidRPr="00233C19" w:rsidRDefault="00C83E2E" w:rsidP="00C83E2E">
      <w:pPr>
        <w:ind w:firstLine="708"/>
        <w:jc w:val="center"/>
        <w:rPr>
          <w:rFonts w:asciiTheme="majorHAnsi" w:eastAsia="Arial Unicode MS" w:hAnsiTheme="majorHAnsi" w:cs="Arial"/>
          <w:b/>
          <w:sz w:val="28"/>
          <w:szCs w:val="28"/>
        </w:rPr>
      </w:pPr>
      <w:r w:rsidRPr="00233C19">
        <w:rPr>
          <w:rFonts w:asciiTheme="majorHAnsi" w:eastAsia="Arial Unicode MS" w:hAnsiTheme="majorHAnsi" w:cs="Arial"/>
          <w:b/>
          <w:sz w:val="28"/>
          <w:szCs w:val="28"/>
        </w:rPr>
        <w:t>Test dla kandydatów na stanowisko asystenta sędziego w Sądzie Rejonowym w Słupcy</w:t>
      </w:r>
    </w:p>
    <w:p w:rsidR="00C83E2E" w:rsidRDefault="00C83E2E" w:rsidP="00C83E2E">
      <w:pPr>
        <w:ind w:firstLine="708"/>
        <w:rPr>
          <w:rFonts w:asciiTheme="majorHAnsi" w:eastAsia="Arial Unicode MS" w:hAnsiTheme="majorHAnsi" w:cs="Arial"/>
          <w:sz w:val="28"/>
          <w:szCs w:val="28"/>
        </w:rPr>
      </w:pPr>
    </w:p>
    <w:p w:rsidR="00C83E2E" w:rsidRDefault="00C83E2E" w:rsidP="00C83E2E">
      <w:pPr>
        <w:ind w:firstLine="708"/>
        <w:rPr>
          <w:rFonts w:asciiTheme="majorHAnsi" w:eastAsia="Arial Unicode MS" w:hAnsiTheme="majorHAnsi" w:cs="Arial"/>
          <w:sz w:val="28"/>
          <w:szCs w:val="28"/>
        </w:rPr>
      </w:pPr>
      <w:r>
        <w:rPr>
          <w:rFonts w:asciiTheme="majorHAnsi" w:eastAsia="Arial Unicode MS" w:hAnsiTheme="majorHAnsi" w:cs="Arial"/>
          <w:sz w:val="28"/>
          <w:szCs w:val="28"/>
        </w:rPr>
        <w:t>Imię i nazwisko ………………………………………………………………………………</w:t>
      </w:r>
    </w:p>
    <w:p w:rsidR="00C83E2E" w:rsidRPr="009A2CB8" w:rsidRDefault="00C83E2E" w:rsidP="00C83E2E">
      <w:pPr>
        <w:ind w:firstLine="708"/>
        <w:rPr>
          <w:rFonts w:asciiTheme="majorHAnsi" w:eastAsia="Arial Unicode MS" w:hAnsiTheme="majorHAnsi" w:cs="Arial"/>
          <w:sz w:val="28"/>
          <w:szCs w:val="28"/>
        </w:rPr>
      </w:pPr>
    </w:p>
    <w:p w:rsidR="00C83E2E" w:rsidRPr="003B7452" w:rsidRDefault="00C83E2E" w:rsidP="00C83E2E">
      <w:pPr>
        <w:pStyle w:val="Tekstpodstawowy1"/>
        <w:shd w:val="clear" w:color="auto" w:fill="auto"/>
        <w:spacing w:after="0" w:line="400" w:lineRule="exact"/>
        <w:ind w:left="20" w:firstLine="0"/>
        <w:rPr>
          <w:rFonts w:asciiTheme="majorHAnsi" w:hAnsiTheme="majorHAnsi"/>
          <w:i/>
          <w:sz w:val="24"/>
          <w:szCs w:val="24"/>
        </w:rPr>
      </w:pPr>
      <w:r w:rsidRPr="003B7452">
        <w:rPr>
          <w:rFonts w:asciiTheme="majorHAnsi" w:hAnsiTheme="majorHAnsi"/>
          <w:i/>
          <w:sz w:val="24"/>
          <w:szCs w:val="24"/>
        </w:rPr>
        <w:t>Proszę odpowiedzieć na poniższe pytania, zaznaczając kółkiem oznaczenia literowe.</w:t>
      </w:r>
    </w:p>
    <w:p w:rsidR="00C83E2E" w:rsidRPr="003B7452" w:rsidRDefault="00C83E2E" w:rsidP="00C83E2E">
      <w:pPr>
        <w:pStyle w:val="Tekstpodstawowy1"/>
        <w:shd w:val="clear" w:color="auto" w:fill="auto"/>
        <w:spacing w:after="0" w:line="400" w:lineRule="exact"/>
        <w:ind w:left="20" w:firstLine="0"/>
        <w:rPr>
          <w:rFonts w:asciiTheme="majorHAnsi" w:hAnsiTheme="majorHAnsi"/>
          <w:i/>
          <w:sz w:val="24"/>
          <w:szCs w:val="24"/>
        </w:rPr>
      </w:pPr>
      <w:r w:rsidRPr="003B7452">
        <w:rPr>
          <w:rFonts w:asciiTheme="majorHAnsi" w:hAnsiTheme="majorHAnsi"/>
          <w:i/>
          <w:sz w:val="24"/>
          <w:szCs w:val="24"/>
        </w:rPr>
        <w:t>Tylko jedna odpowiedź jest prawidłowa.</w:t>
      </w:r>
    </w:p>
    <w:p w:rsidR="00C83E2E" w:rsidRDefault="00C83E2E" w:rsidP="00F84ABF">
      <w:pPr>
        <w:pStyle w:val="Tekstpodstawowy1"/>
        <w:shd w:val="clear" w:color="auto" w:fill="auto"/>
        <w:spacing w:after="501" w:line="400" w:lineRule="exact"/>
        <w:ind w:left="20" w:firstLine="0"/>
        <w:rPr>
          <w:rFonts w:asciiTheme="majorHAnsi" w:hAnsiTheme="majorHAnsi"/>
          <w:i/>
          <w:sz w:val="24"/>
          <w:szCs w:val="24"/>
        </w:rPr>
      </w:pPr>
      <w:r w:rsidRPr="003B7452">
        <w:rPr>
          <w:rStyle w:val="BodytextTimesNewRoman115pt"/>
          <w:rFonts w:asciiTheme="majorHAnsi" w:eastAsia="Tahoma" w:hAnsiTheme="majorHAnsi"/>
          <w:i/>
          <w:sz w:val="24"/>
          <w:szCs w:val="24"/>
        </w:rPr>
        <w:t xml:space="preserve">Za </w:t>
      </w:r>
      <w:r w:rsidRPr="003B7452">
        <w:rPr>
          <w:rFonts w:asciiTheme="majorHAnsi" w:hAnsiTheme="majorHAnsi"/>
          <w:i/>
          <w:sz w:val="24"/>
          <w:szCs w:val="24"/>
        </w:rPr>
        <w:t>każdą poprawną odpowiedź uzyskuje się 1 punkt.</w:t>
      </w:r>
    </w:p>
    <w:p w:rsidR="00F84ABF" w:rsidRPr="003B7452" w:rsidRDefault="00F84ABF" w:rsidP="00F84ABF">
      <w:pPr>
        <w:pStyle w:val="Tekstpodstawowy1"/>
        <w:shd w:val="clear" w:color="auto" w:fill="auto"/>
        <w:spacing w:after="501" w:line="360" w:lineRule="auto"/>
        <w:ind w:left="20" w:firstLine="0"/>
        <w:rPr>
          <w:rFonts w:asciiTheme="majorHAnsi" w:hAnsiTheme="majorHAnsi"/>
          <w:i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karnym w stosunku do sprawcy, który popełnił występek po ukończeniu lat 17, lecz przed ukończeniem lat 18, sąd:</w:t>
      </w:r>
    </w:p>
    <w:p w:rsidR="003364A2" w:rsidRPr="0033309E" w:rsidRDefault="003364A2" w:rsidP="00F84ABF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w każdym przypadku zamiast kary stosuje środki wychowawcze albo poprawcze przewidziane dla nieletnich,</w:t>
      </w:r>
    </w:p>
    <w:p w:rsidR="003364A2" w:rsidRPr="0033309E" w:rsidRDefault="003364A2" w:rsidP="00F84ABF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zamiast kary stosuje środki wychowawcze, lecznicze albo poprawcze przewidziane dla nieletnich, jeżeli okoliczności sprawy oraz stopień rozwoju sprawcy, jego właściwości i warunki osobiste za tym przemawiają,</w:t>
      </w:r>
    </w:p>
    <w:p w:rsidR="00C83E2E" w:rsidRPr="0033309E" w:rsidRDefault="003364A2" w:rsidP="00F84ABF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warunkowo umarza postępowanie.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:rsidR="003364A2" w:rsidRPr="0033309E" w:rsidRDefault="003364A2" w:rsidP="00F84ABF">
      <w:pPr>
        <w:pStyle w:val="Akapitzlist"/>
        <w:spacing w:line="360" w:lineRule="auto"/>
        <w:ind w:left="1440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karnym, zniesławienie za pomocą środków masowego komunikowania jest przestępstwem ściganym:</w:t>
      </w:r>
    </w:p>
    <w:p w:rsidR="003364A2" w:rsidRPr="0033309E" w:rsidRDefault="003364A2" w:rsidP="00F84ABF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 oskarżenia publicznego,</w:t>
      </w:r>
    </w:p>
    <w:p w:rsidR="003364A2" w:rsidRPr="0033309E" w:rsidRDefault="003364A2" w:rsidP="00F84ABF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 urzędu po złożeniu wniosku przez pokrzywdzonego,</w:t>
      </w:r>
    </w:p>
    <w:p w:rsidR="003364A2" w:rsidRPr="0033309E" w:rsidRDefault="003364A2" w:rsidP="00F84ABF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 oskarżenia prywatnego.</w:t>
      </w:r>
    </w:p>
    <w:p w:rsidR="003364A2" w:rsidRPr="0033309E" w:rsidRDefault="003364A2" w:rsidP="00F84ABF">
      <w:pPr>
        <w:pStyle w:val="Akapitzlist"/>
        <w:spacing w:line="360" w:lineRule="auto"/>
        <w:ind w:left="1440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karnym karę grzywny za przestępstwo  wymierza się:</w:t>
      </w:r>
    </w:p>
    <w:p w:rsidR="003364A2" w:rsidRPr="0033309E" w:rsidRDefault="003364A2" w:rsidP="00F84ABF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tylko kwotowo,</w:t>
      </w:r>
    </w:p>
    <w:p w:rsidR="003364A2" w:rsidRPr="0033309E" w:rsidRDefault="003364A2" w:rsidP="00F84ABF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lastRenderedPageBreak/>
        <w:t>kwotowo lub w stawkach dziennych,</w:t>
      </w:r>
    </w:p>
    <w:p w:rsidR="003364A2" w:rsidRPr="0033309E" w:rsidRDefault="003364A2" w:rsidP="00F84ABF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>w stawkach dziennych, określając liczbę stawek oraz wysokość jednej stawki,</w:t>
      </w:r>
      <w:r w:rsidRPr="0033309E">
        <w:rPr>
          <w:rFonts w:asciiTheme="majorHAnsi" w:hAnsiTheme="majorHAnsi" w:cstheme="majorHAnsi"/>
          <w:sz w:val="24"/>
          <w:szCs w:val="24"/>
        </w:rPr>
        <w:t xml:space="preserve">   </w:t>
      </w:r>
    </w:p>
    <w:p w:rsidR="003364A2" w:rsidRPr="0033309E" w:rsidRDefault="003364A2" w:rsidP="00F84ABF">
      <w:pPr>
        <w:pStyle w:val="Akapitzlist"/>
        <w:spacing w:line="360" w:lineRule="auto"/>
        <w:ind w:left="1320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karnym n</w:t>
      </w: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>a poczet orzeczonej kary zasadniczej  zalicza się okres rzeczywistego pozbawienia wolności w sprawie, zaokrąglając w górę do pełnego dnia, przy czym:</w:t>
      </w:r>
    </w:p>
    <w:p w:rsidR="003364A2" w:rsidRPr="0033309E" w:rsidRDefault="003364A2" w:rsidP="00F84ABF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jeden dzień rzeczywistego pozbawienia wolności równa się jednemu dniowi kary pozbawienia wolności, dwóm dniom kary ograniczenia wolności lub dwóm dziennym stawkom grzywny,</w:t>
      </w:r>
    </w:p>
    <w:p w:rsidR="003364A2" w:rsidRPr="0033309E" w:rsidRDefault="003364A2" w:rsidP="00F84ABF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>jeden dzień rzeczywistego pozbawienia wolności równa się jednemu dniowi kary pozbawienia wolności, jednemu dniowi kary ograniczenia wolności lub dwóm dziennym stawkom grzywny,</w:t>
      </w:r>
    </w:p>
    <w:p w:rsidR="003364A2" w:rsidRPr="0033309E" w:rsidRDefault="003364A2" w:rsidP="00F84ABF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>jeden dzień rzeczywistego pozbawienia wolności równa się jednemu dniowi kary pozbawienia wolności, dwóm dniom kary ograniczenia wolności lub czterem dziennym stawkom grzywny,</w:t>
      </w:r>
    </w:p>
    <w:p w:rsidR="00244A28" w:rsidRPr="0033309E" w:rsidRDefault="00244A28" w:rsidP="00244A28">
      <w:pPr>
        <w:pStyle w:val="Akapitzlist"/>
        <w:shd w:val="clear" w:color="auto" w:fill="FFFFFF"/>
        <w:spacing w:before="72" w:after="0" w:line="360" w:lineRule="auto"/>
        <w:ind w:left="786"/>
        <w:rPr>
          <w:rFonts w:asciiTheme="majorHAnsi" w:eastAsia="Arial Unicode MS" w:hAnsiTheme="majorHAnsi" w:cstheme="majorHAnsi"/>
          <w:sz w:val="24"/>
          <w:szCs w:val="24"/>
          <w:lang w:eastAsia="pl-PL"/>
        </w:rPr>
      </w:pPr>
    </w:p>
    <w:p w:rsidR="003364A2" w:rsidRPr="0033309E" w:rsidRDefault="003364A2" w:rsidP="00244A28">
      <w:pPr>
        <w:pStyle w:val="Akapitzlist"/>
        <w:numPr>
          <w:ilvl w:val="0"/>
          <w:numId w:val="1"/>
        </w:numPr>
        <w:shd w:val="clear" w:color="auto" w:fill="FFFFFF"/>
        <w:spacing w:before="72" w:after="0" w:line="360" w:lineRule="auto"/>
        <w:jc w:val="both"/>
        <w:rPr>
          <w:rFonts w:asciiTheme="majorHAnsi" w:eastAsia="Arial Unicode MS" w:hAnsiTheme="majorHAnsi" w:cstheme="majorHAnsi"/>
          <w:sz w:val="24"/>
          <w:szCs w:val="24"/>
          <w:lang w:eastAsia="pl-PL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lang w:eastAsia="pl-PL"/>
        </w:rPr>
        <w:t>Jeżeli w czasie orzekania obowiązuje ustawa inna niż w czasie popełnienia przestępstwa: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hd w:val="clear" w:color="auto" w:fill="FFFFFF"/>
        <w:spacing w:before="72" w:after="0" w:line="360" w:lineRule="auto"/>
        <w:jc w:val="both"/>
        <w:rPr>
          <w:rFonts w:asciiTheme="majorHAnsi" w:eastAsia="Arial Unicode MS" w:hAnsiTheme="majorHAnsi" w:cstheme="majorHAnsi"/>
          <w:sz w:val="24"/>
          <w:szCs w:val="24"/>
          <w:lang w:eastAsia="pl-PL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lang w:eastAsia="pl-PL"/>
        </w:rPr>
        <w:t>zawsze stosuje się ustawę nową,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hd w:val="clear" w:color="auto" w:fill="FFFFFF"/>
        <w:spacing w:before="72" w:after="0" w:line="360" w:lineRule="auto"/>
        <w:jc w:val="both"/>
        <w:rPr>
          <w:rFonts w:asciiTheme="majorHAnsi" w:eastAsia="Arial Unicode MS" w:hAnsiTheme="majorHAnsi" w:cstheme="majorHAnsi"/>
          <w:sz w:val="24"/>
          <w:szCs w:val="24"/>
          <w:lang w:eastAsia="pl-PL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stosuje się ustawę nową, chyba że ustawa obowiązująca poprzednio jest względniejsza dla sprawcy.</w:t>
      </w:r>
    </w:p>
    <w:p w:rsidR="003364A2" w:rsidRPr="0033309E" w:rsidRDefault="003364A2" w:rsidP="00F84ABF">
      <w:pPr>
        <w:pStyle w:val="Akapitzlist"/>
        <w:spacing w:line="360" w:lineRule="auto"/>
        <w:ind w:left="786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Warunkowego umorzenia nie stosuje się do sprawcy przestępstwa zagrożonego karą: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przekraczającą 3 lata pozbawienia wolności,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przekraczającą 5 lat pozbawienia wolności.</w:t>
      </w:r>
    </w:p>
    <w:p w:rsidR="003364A2" w:rsidRPr="0033309E" w:rsidRDefault="003364A2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Jeżeli sprawca popełnia w podobny sposób, w krótkich odstępach czasu, z wykorzystaniem takiej samej sposobności, co najmniej dwa przestępstwa, zanim zapadł pierwszy wyrok co do któregokolwiek z tych przestępstw zachodzi: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czyn ciągły,</w:t>
      </w:r>
    </w:p>
    <w:p w:rsidR="003364A2" w:rsidRPr="0033309E" w:rsidRDefault="003364A2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  <w:shd w:val="clear" w:color="auto" w:fill="FFFFFF"/>
        </w:rPr>
        <w:t>ciąg przestępstw.</w:t>
      </w:r>
    </w:p>
    <w:p w:rsidR="003364A2" w:rsidRPr="0033309E" w:rsidRDefault="003364A2" w:rsidP="00F84ABF">
      <w:pPr>
        <w:pStyle w:val="Akapitzlist"/>
        <w:spacing w:line="360" w:lineRule="auto"/>
        <w:ind w:left="786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lastRenderedPageBreak/>
        <w:t xml:space="preserve">W razie skazania na karę pozbawienia wolności z warunkowym zawieszeniem jej wykonania zatarcie skazania następuje z mocy prawa: </w:t>
      </w:r>
    </w:p>
    <w:p w:rsidR="003364A2" w:rsidRPr="0033309E" w:rsidRDefault="003364A2" w:rsidP="00F84AB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z upływem 8 miesięcy od zakończenia okresu próby,</w:t>
      </w:r>
    </w:p>
    <w:p w:rsidR="003364A2" w:rsidRPr="0033309E" w:rsidRDefault="003364A2" w:rsidP="00F84AB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z upływem 6 miesięcy od zakończenia okresu próby.</w:t>
      </w:r>
    </w:p>
    <w:p w:rsidR="003364A2" w:rsidRPr="0033309E" w:rsidRDefault="003364A2" w:rsidP="00F84ABF">
      <w:pPr>
        <w:pStyle w:val="Akapitzlist"/>
        <w:spacing w:line="360" w:lineRule="auto"/>
        <w:ind w:left="156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F84ABF" w:rsidRPr="0033309E" w:rsidRDefault="00F84ABF" w:rsidP="00F84ABF">
      <w:pPr>
        <w:pStyle w:val="Akapitzlist"/>
        <w:numPr>
          <w:ilvl w:val="0"/>
          <w:numId w:val="1"/>
        </w:num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karnym warunkowo umorzonego postępowania karnego  nie można podjąć później niż w ciągu:</w:t>
      </w:r>
    </w:p>
    <w:p w:rsidR="00F84ABF" w:rsidRPr="0033309E" w:rsidRDefault="00F84ABF" w:rsidP="00F84ABF">
      <w:pPr>
        <w:pStyle w:val="Akapitzlist"/>
        <w:numPr>
          <w:ilvl w:val="0"/>
          <w:numId w:val="4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3 miesięcy od zakończenia okresu próby,</w:t>
      </w:r>
    </w:p>
    <w:p w:rsidR="00F84ABF" w:rsidRPr="0033309E" w:rsidRDefault="00F84ABF" w:rsidP="00F84ABF">
      <w:pPr>
        <w:pStyle w:val="Akapitzlist"/>
        <w:numPr>
          <w:ilvl w:val="0"/>
          <w:numId w:val="4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6 miesięcy od zakończenia okresu próby,</w:t>
      </w:r>
    </w:p>
    <w:p w:rsidR="00F84ABF" w:rsidRPr="0033309E" w:rsidRDefault="00F84ABF" w:rsidP="00F84ABF">
      <w:pPr>
        <w:pStyle w:val="Akapitzlist"/>
        <w:numPr>
          <w:ilvl w:val="0"/>
          <w:numId w:val="43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12 miesięcy od zakończenia okresu próby.</w:t>
      </w:r>
    </w:p>
    <w:p w:rsidR="00F84ABF" w:rsidRPr="0033309E" w:rsidRDefault="00F84ABF" w:rsidP="00F84ABF">
      <w:pPr>
        <w:pStyle w:val="Akapitzlist"/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postępowania karnego postępowanie mediacyjne nie powinno trwać dłużej niż</w:t>
      </w:r>
    </w:p>
    <w:p w:rsidR="003364A2" w:rsidRPr="0033309E" w:rsidRDefault="003364A2" w:rsidP="00F84ABF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dwa miesiące,</w:t>
      </w:r>
    </w:p>
    <w:p w:rsidR="003364A2" w:rsidRPr="0033309E" w:rsidRDefault="003364A2" w:rsidP="00F84ABF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miesiąc,</w:t>
      </w:r>
    </w:p>
    <w:p w:rsidR="003364A2" w:rsidRPr="0033309E" w:rsidRDefault="003364A2" w:rsidP="00F84ABF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czas niezbędny do jego przeprowadzenia. </w:t>
      </w:r>
    </w:p>
    <w:p w:rsidR="00F84ABF" w:rsidRPr="0033309E" w:rsidRDefault="00F84ABF" w:rsidP="00F84ABF">
      <w:pPr>
        <w:pStyle w:val="Akapitzlist"/>
        <w:spacing w:line="360" w:lineRule="auto"/>
        <w:ind w:left="1440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Zgodnie z kodeksem postępowania karnego, gdy nastąpiło przedawnienie karalności czynu: </w:t>
      </w:r>
    </w:p>
    <w:p w:rsidR="003364A2" w:rsidRPr="0033309E" w:rsidRDefault="003364A2" w:rsidP="00F84AB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nie wszczyna się postępowania, a wszczęte umarza, </w:t>
      </w:r>
    </w:p>
    <w:p w:rsidR="003364A2" w:rsidRPr="0033309E" w:rsidRDefault="003364A2" w:rsidP="00F84AB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postępowanie zawiesza się na czas nieokreślony,</w:t>
      </w:r>
    </w:p>
    <w:p w:rsidR="003364A2" w:rsidRPr="0033309E" w:rsidRDefault="003364A2" w:rsidP="00F84AB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nie jest to przeszkodą do prowadzenia postępowania. </w:t>
      </w:r>
    </w:p>
    <w:p w:rsidR="00244A28" w:rsidRPr="0033309E" w:rsidRDefault="00244A28" w:rsidP="00244A28">
      <w:pPr>
        <w:pStyle w:val="Akapitzlist"/>
        <w:autoSpaceDE w:val="0"/>
        <w:autoSpaceDN w:val="0"/>
        <w:adjustRightInd w:val="0"/>
        <w:spacing w:before="240" w:after="0" w:line="360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:rsidR="003364A2" w:rsidRPr="0033309E" w:rsidRDefault="003364A2" w:rsidP="00F84AB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postępowania karnego z</w:t>
      </w:r>
      <w:r w:rsidRPr="0033309E">
        <w:rPr>
          <w:rFonts w:asciiTheme="majorHAnsi" w:hAnsiTheme="majorHAnsi" w:cstheme="majorHAnsi"/>
          <w:sz w:val="24"/>
          <w:szCs w:val="24"/>
          <w:shd w:val="clear" w:color="auto" w:fill="FFFFFF"/>
        </w:rPr>
        <w:t>ażalenie na postanowienie w przedmiocie środka zapobiegawczego:</w:t>
      </w:r>
    </w:p>
    <w:p w:rsidR="003364A2" w:rsidRPr="0033309E" w:rsidRDefault="003364A2" w:rsidP="00F84AB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sąd rozpoznaje w ciągu miesiąca czasu, </w:t>
      </w:r>
    </w:p>
    <w:p w:rsidR="003364A2" w:rsidRPr="0033309E" w:rsidRDefault="003364A2" w:rsidP="00F84AB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sąd rozpoznaje  niezwłocznie, </w:t>
      </w:r>
    </w:p>
    <w:p w:rsidR="003364A2" w:rsidRPr="0033309E" w:rsidRDefault="003364A2" w:rsidP="00F84ABF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sąd rozpoznaje w terminie nie dłuższym niż 14 dni,  </w:t>
      </w:r>
    </w:p>
    <w:p w:rsidR="003364A2" w:rsidRPr="0033309E" w:rsidRDefault="003364A2" w:rsidP="00F84ABF">
      <w:pPr>
        <w:pStyle w:val="Akapitzlist"/>
        <w:autoSpaceDE w:val="0"/>
        <w:autoSpaceDN w:val="0"/>
        <w:adjustRightInd w:val="0"/>
        <w:spacing w:before="240" w:after="0" w:line="360" w:lineRule="auto"/>
        <w:ind w:left="2388"/>
        <w:jc w:val="both"/>
        <w:rPr>
          <w:rFonts w:asciiTheme="majorHAnsi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Jeżeli akt oskarżenia wniósł oskarżyciel publiczny pokrzywdzony może złożyć oświadczenie, że będzie działał w charakterze oskarżyciela posiłkowego:</w:t>
      </w:r>
    </w:p>
    <w:p w:rsidR="00C83E2E" w:rsidRPr="0033309E" w:rsidRDefault="00C83E2E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do czasu rozpoczęcia przewodu sądowego na rozprawie głównej,</w:t>
      </w:r>
    </w:p>
    <w:p w:rsidR="00C83E2E" w:rsidRPr="0033309E" w:rsidRDefault="00C83E2E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lastRenderedPageBreak/>
        <w:t>do czasu zamknięcia przewodu sądowego na rozprawie głównej.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W postępowaniu karnym oskarżony musi mieć obrońcę, jeżeli:</w:t>
      </w:r>
    </w:p>
    <w:p w:rsidR="00C83E2E" w:rsidRPr="0033309E" w:rsidRDefault="00C83E2E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nie włada w wystarczającym stopniu językiem polskim,</w:t>
      </w:r>
    </w:p>
    <w:p w:rsidR="00C83E2E" w:rsidRPr="0033309E" w:rsidRDefault="00DA5E70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nie ukończył 18 lat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>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DA5E70" w:rsidRPr="0033309E">
        <w:rPr>
          <w:rFonts w:asciiTheme="majorHAnsi" w:eastAsia="Arial Unicode MS" w:hAnsiTheme="majorHAnsi" w:cstheme="majorHAnsi"/>
          <w:sz w:val="24"/>
          <w:szCs w:val="24"/>
        </w:rPr>
        <w:t>Uzasadnienie postanowienia sporządza się:</w:t>
      </w:r>
    </w:p>
    <w:p w:rsidR="00C83E2E" w:rsidRPr="0033309E" w:rsidRDefault="005A145D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wraz z samym </w:t>
      </w:r>
      <w:r w:rsidR="00DA5E70" w:rsidRPr="0033309E">
        <w:rPr>
          <w:rFonts w:asciiTheme="majorHAnsi" w:eastAsia="Arial Unicode MS" w:hAnsiTheme="majorHAnsi" w:cstheme="majorHAnsi"/>
          <w:sz w:val="24"/>
          <w:szCs w:val="24"/>
        </w:rPr>
        <w:t>postanowieniem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>,</w:t>
      </w:r>
    </w:p>
    <w:p w:rsidR="00C83E2E" w:rsidRPr="0033309E" w:rsidRDefault="005A145D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na wniosek strony złożony w terminie 7 dni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>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5A145D" w:rsidRPr="0033309E">
        <w:rPr>
          <w:rFonts w:asciiTheme="majorHAnsi" w:eastAsia="Arial Unicode MS" w:hAnsiTheme="majorHAnsi" w:cstheme="majorHAnsi"/>
          <w:sz w:val="24"/>
          <w:szCs w:val="24"/>
        </w:rPr>
        <w:t xml:space="preserve">Prawo do odmowy składania zeznań przysługuje </w:t>
      </w:r>
      <w:r w:rsidRPr="0033309E">
        <w:rPr>
          <w:rFonts w:asciiTheme="majorHAnsi" w:eastAsia="Arial Unicode MS" w:hAnsiTheme="majorHAnsi" w:cstheme="majorHAnsi"/>
          <w:sz w:val="24"/>
          <w:szCs w:val="24"/>
        </w:rPr>
        <w:t>:</w:t>
      </w:r>
    </w:p>
    <w:p w:rsidR="00C83E2E" w:rsidRPr="0033309E" w:rsidRDefault="005A145D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świadkowi, który w innej toczącej się sprawie jest oskarżony o współudział w przestępstwie objętym postępowaniem,</w:t>
      </w:r>
    </w:p>
    <w:p w:rsidR="005A145D" w:rsidRPr="0033309E" w:rsidRDefault="005A145D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świadkowi, który w innej zakończonej sprawie </w:t>
      </w:r>
      <w:r w:rsidR="003259F6" w:rsidRPr="0033309E">
        <w:rPr>
          <w:rFonts w:asciiTheme="majorHAnsi" w:eastAsia="Arial Unicode MS" w:hAnsiTheme="majorHAnsi" w:cstheme="majorHAnsi"/>
          <w:sz w:val="24"/>
          <w:szCs w:val="24"/>
        </w:rPr>
        <w:t>był</w:t>
      </w: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oskarżony o współudział w przestępstwie objętym postępowaniem.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1C5B25" w:rsidRPr="0033309E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303AF9" w:rsidRPr="0033309E">
        <w:rPr>
          <w:rFonts w:asciiTheme="majorHAnsi" w:eastAsia="Arial Unicode MS" w:hAnsiTheme="majorHAnsi" w:cstheme="majorHAnsi"/>
          <w:sz w:val="24"/>
          <w:szCs w:val="24"/>
        </w:rPr>
        <w:t xml:space="preserve">Wyrok może być wydany </w:t>
      </w:r>
      <w:r w:rsidRPr="0033309E">
        <w:rPr>
          <w:rFonts w:asciiTheme="majorHAnsi" w:eastAsia="Arial Unicode MS" w:hAnsiTheme="majorHAnsi" w:cstheme="majorHAnsi"/>
          <w:sz w:val="24"/>
          <w:szCs w:val="24"/>
        </w:rPr>
        <w:t>:</w:t>
      </w:r>
    </w:p>
    <w:p w:rsidR="00C83E2E" w:rsidRPr="0033309E" w:rsidRDefault="00303AF9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tylko na rozprawie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>,</w:t>
      </w:r>
    </w:p>
    <w:p w:rsidR="00C83E2E" w:rsidRPr="0033309E" w:rsidRDefault="00303AF9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również na posiedzeniu</w:t>
      </w:r>
      <w:r w:rsidR="00C83E2E" w:rsidRPr="0033309E">
        <w:rPr>
          <w:rFonts w:asciiTheme="majorHAnsi" w:eastAsia="Arial Unicode MS" w:hAnsiTheme="majorHAnsi" w:cstheme="majorHAnsi"/>
          <w:sz w:val="24"/>
          <w:szCs w:val="24"/>
        </w:rPr>
        <w:t>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C83E2E" w:rsidRPr="0033309E" w:rsidRDefault="00C83E2E" w:rsidP="00F84AB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 xml:space="preserve"> W sprawie z oskarżenia prywatnego wydanie wyroku nakazowego jest:</w:t>
      </w:r>
    </w:p>
    <w:p w:rsidR="00C83E2E" w:rsidRPr="0033309E" w:rsidRDefault="00C83E2E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dopuszczalne,</w:t>
      </w:r>
    </w:p>
    <w:p w:rsidR="00C83E2E" w:rsidRPr="0033309E" w:rsidRDefault="00C83E2E" w:rsidP="00F84ABF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ajorHAnsi" w:eastAsia="Arial Unicode MS" w:hAnsiTheme="majorHAnsi" w:cstheme="majorHAnsi"/>
          <w:sz w:val="24"/>
          <w:szCs w:val="24"/>
        </w:rPr>
      </w:pPr>
      <w:r w:rsidRPr="0033309E">
        <w:rPr>
          <w:rFonts w:asciiTheme="majorHAnsi" w:eastAsia="Arial Unicode MS" w:hAnsiTheme="majorHAnsi" w:cstheme="majorHAnsi"/>
          <w:sz w:val="24"/>
          <w:szCs w:val="24"/>
        </w:rPr>
        <w:t>niedopuszczalne.</w:t>
      </w:r>
    </w:p>
    <w:p w:rsidR="00C83E2E" w:rsidRPr="0033309E" w:rsidRDefault="00C83E2E" w:rsidP="00F84ABF">
      <w:pPr>
        <w:pStyle w:val="Akapitzlist"/>
        <w:spacing w:line="360" w:lineRule="auto"/>
        <w:ind w:left="1440"/>
        <w:jc w:val="both"/>
        <w:rPr>
          <w:rFonts w:asciiTheme="majorHAnsi" w:eastAsia="Arial Unicode MS" w:hAnsiTheme="majorHAnsi" w:cstheme="majorHAnsi"/>
          <w:sz w:val="24"/>
          <w:szCs w:val="24"/>
        </w:rPr>
      </w:pPr>
    </w:p>
    <w:p w:rsidR="00BF69FB" w:rsidRPr="0033309E" w:rsidRDefault="00C83E2E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shd w:val="clear" w:color="auto" w:fill="FFFFFF"/>
          <w:lang w:eastAsia="pl-PL"/>
        </w:rPr>
        <w:t xml:space="preserve"> </w:t>
      </w:r>
      <w:r w:rsidR="00BF69FB"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Sądem właściwym  sprawie o zachowek jest:</w:t>
      </w:r>
    </w:p>
    <w:p w:rsidR="00BF69FB" w:rsidRPr="0033309E" w:rsidRDefault="00BF69FB" w:rsidP="00F84ABF">
      <w:pPr>
        <w:pStyle w:val="Akapitzlist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sąd miejsca zamieszkania pozwanego,</w:t>
      </w:r>
    </w:p>
    <w:p w:rsidR="00BF69FB" w:rsidRPr="0033309E" w:rsidRDefault="00BF69FB" w:rsidP="00F84ABF">
      <w:pPr>
        <w:pStyle w:val="Akapitzlist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sąd ostatniego miejsca zwykłego pobytu spadkodawcy.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Kupujący w ramach wykonywania uprawnienia z rękojmi za wady rzeczy sprzedanej może:</w:t>
      </w:r>
    </w:p>
    <w:p w:rsidR="00BF69FB" w:rsidRPr="0033309E" w:rsidRDefault="00BF69FB" w:rsidP="00F84AB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odstąpić od umowy w każdym przypadku,</w:t>
      </w:r>
    </w:p>
    <w:p w:rsidR="00BF69FB" w:rsidRPr="0033309E" w:rsidRDefault="00BF69FB" w:rsidP="00F84AB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odstąpić od umowy tylko jeśli wada rzeczy jest istotna. 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Na  postanowienie o odmowie odrzucenia pozwu:</w:t>
      </w:r>
    </w:p>
    <w:p w:rsidR="00BF69FB" w:rsidRPr="0033309E" w:rsidRDefault="00BF69FB" w:rsidP="00F84ABF">
      <w:pPr>
        <w:pStyle w:val="Akapitzlist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przysługuje zażalenie,</w:t>
      </w:r>
    </w:p>
    <w:p w:rsidR="00BF69FB" w:rsidRPr="0033309E" w:rsidRDefault="00BF69FB" w:rsidP="00F84ABF">
      <w:pPr>
        <w:pStyle w:val="Akapitzlist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nie przysługuje żaden środek zaskarżenia, gdyż nie jest to postanowienie kończące postępowanie w sprawie.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Służebność gruntowa polegająca na korzystaniu z trwałego i widocznego urządzenia:</w:t>
      </w:r>
    </w:p>
    <w:p w:rsidR="00BF69FB" w:rsidRPr="0033309E" w:rsidRDefault="00BF69FB" w:rsidP="00F84AB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może być nabyta przez zasiedzenie,</w:t>
      </w:r>
    </w:p>
    <w:p w:rsidR="00BF69FB" w:rsidRPr="0033309E" w:rsidRDefault="00BF69FB" w:rsidP="00F84AB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nie może być nabyta przez zasiedzenie.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Zgłoszenie wniosku o ustanowienie pełnomocnika z urzędu:</w:t>
      </w:r>
    </w:p>
    <w:p w:rsidR="00BF69FB" w:rsidRPr="0033309E" w:rsidRDefault="00BF69FB" w:rsidP="00F84ABF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nie wstrzymuje biegu postępowania, chyba że chodzi o ustanowienie pełnomocnika dla powoda na skutek wniosku zgłoszonego w pozwie,</w:t>
      </w:r>
    </w:p>
    <w:p w:rsidR="00BF69FB" w:rsidRPr="0033309E" w:rsidRDefault="00BF69FB" w:rsidP="00F84ABF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zawsze wstrzymuje bieg toczącego się postępowania, zwłaszcza jeśli wniosek został zgłoszony w terminie do wniesienia środka zaskarżenia.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nie może wydać postanowienia o stwierdzeniu nabycia spadku:</w:t>
      </w:r>
    </w:p>
    <w:p w:rsidR="00BF69FB" w:rsidRPr="0033309E" w:rsidRDefault="00BF69FB" w:rsidP="00F84AB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przed upływem sześciu miesięcy od dnia otwarcia spadku,</w:t>
      </w:r>
    </w:p>
    <w:p w:rsidR="00BF69FB" w:rsidRPr="0033309E" w:rsidRDefault="00BF69FB" w:rsidP="00F84AB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przed upływem sześciu miesięcy od dnia otwarcia spadku, chyba że wszyscy znani spadkobiercy złożyli już oświadczenia o przyjęciu lub odrzuceniu spadku.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Jeżeli kilku współuczestników sporu w postępowaniu nieprocesowym ustanowi jednego pełnomocnika do doręczeń:</w:t>
      </w:r>
    </w:p>
    <w:p w:rsidR="00BF69FB" w:rsidRPr="0033309E" w:rsidRDefault="00BF69FB" w:rsidP="00F84ABF">
      <w:pPr>
        <w:pStyle w:val="Akapitzlist"/>
        <w:numPr>
          <w:ilvl w:val="0"/>
          <w:numId w:val="28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pełnomocnikowi doręcza się jeden egzemplarz pism procesowych,</w:t>
      </w:r>
    </w:p>
    <w:p w:rsidR="00BF69FB" w:rsidRPr="0033309E" w:rsidRDefault="00BF69FB" w:rsidP="00F84ABF">
      <w:pPr>
        <w:pStyle w:val="Akapitzlist"/>
        <w:numPr>
          <w:ilvl w:val="0"/>
          <w:numId w:val="28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pełnomocnikowi doręcza się tyle pism procesowych, ilu ma mocodawców.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Udział spadkowy małżonka, który dziedziczy w zbiegu z rodzicami, rodzeństwem i zstępnymi rodzeństwa spadkodawcy, wynosi:</w:t>
      </w:r>
    </w:p>
    <w:p w:rsidR="00BF69FB" w:rsidRPr="0033309E" w:rsidRDefault="00BF69FB" w:rsidP="00F84AB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jedną drugą spadku,</w:t>
      </w:r>
    </w:p>
    <w:p w:rsidR="00BF69FB" w:rsidRPr="0033309E" w:rsidRDefault="00BF69FB" w:rsidP="00F84AB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jedną czwartą spadku.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W przypadku śmierci strony w toku postępowania sądowego:</w:t>
      </w:r>
    </w:p>
    <w:p w:rsidR="00BF69FB" w:rsidRPr="0033309E" w:rsidRDefault="00BF69FB" w:rsidP="00F84AB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lastRenderedPageBreak/>
        <w:t>sąd zawiesza postępowanie i uchyla wszystkie orzeczenia wydane po śmierci strony,</w:t>
      </w:r>
    </w:p>
    <w:p w:rsidR="00BF69FB" w:rsidRPr="0033309E" w:rsidRDefault="00BF69FB" w:rsidP="00F84AB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zawiesza postępowanie i uchyla wszystkie orzeczenia wydane po śmierci strony, chyba że śmierć nastąpiła po zamknięciu rozprawy.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Uznania czynności prawnej dokonanej z pokrzywdzeniem wierzycieli za bezskuteczną nie można żądać:</w:t>
      </w:r>
    </w:p>
    <w:p w:rsidR="00BF69FB" w:rsidRPr="0033309E" w:rsidRDefault="00BF69FB" w:rsidP="00F84AB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po upływie lat pięciu od daty tej czynności,</w:t>
      </w:r>
    </w:p>
    <w:p w:rsidR="00BF69FB" w:rsidRPr="0033309E" w:rsidRDefault="00BF69FB" w:rsidP="00F84AB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po upływie lat trzech od daty tej czynności. 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Postanowienie o odrzuceniu zażalenia sąd uzasadnia:</w:t>
      </w:r>
    </w:p>
    <w:p w:rsidR="00BF69FB" w:rsidRPr="0033309E" w:rsidRDefault="00BF69FB" w:rsidP="00F84ABF">
      <w:pPr>
        <w:pStyle w:val="Akapitzlist"/>
        <w:numPr>
          <w:ilvl w:val="0"/>
          <w:numId w:val="30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 urzędu,</w:t>
      </w:r>
    </w:p>
    <w:p w:rsidR="00BF69FB" w:rsidRPr="0033309E" w:rsidRDefault="00BF69FB" w:rsidP="00F84ABF">
      <w:pPr>
        <w:pStyle w:val="Akapitzlist"/>
        <w:numPr>
          <w:ilvl w:val="0"/>
          <w:numId w:val="30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na wniosek.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 Przedawnienie roszczenia w sporze z konsumentem:</w:t>
      </w:r>
    </w:p>
    <w:p w:rsidR="00BF69FB" w:rsidRPr="0033309E" w:rsidRDefault="00BF69FB" w:rsidP="00F84AB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uwzględnia na zarzut,</w:t>
      </w:r>
    </w:p>
    <w:p w:rsidR="00BF69FB" w:rsidRPr="0033309E" w:rsidRDefault="00BF69FB" w:rsidP="00F84AB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uwzględnia z urzędu.</w:t>
      </w:r>
    </w:p>
    <w:p w:rsidR="00BF69FB" w:rsidRPr="0033309E" w:rsidRDefault="00BF69FB" w:rsidP="00F84ABF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Skargę na czynności komornika wnosi się:</w:t>
      </w:r>
    </w:p>
    <w:p w:rsidR="00BF69FB" w:rsidRPr="0033309E" w:rsidRDefault="00BF69FB" w:rsidP="00F84ABF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w terminie tygodniowym od dnia zawiadomienia o czynności komornika,</w:t>
      </w:r>
    </w:p>
    <w:p w:rsidR="00BF69FB" w:rsidRPr="0033309E" w:rsidRDefault="00BF69FB" w:rsidP="00F84ABF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w terminie dwutygodniowym od dnia zawiadomienia o czynności komornika.</w:t>
      </w: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shd w:val="clear" w:color="auto" w:fill="FFFFFF"/>
        <w:spacing w:after="0" w:line="360" w:lineRule="auto"/>
        <w:ind w:left="1080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W skład majątku wspólnego małżonków wchodzą:</w:t>
      </w:r>
    </w:p>
    <w:p w:rsidR="00BF69FB" w:rsidRPr="0033309E" w:rsidRDefault="00BF69FB" w:rsidP="00F84AB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dochody z majątku osobistego każdego z małżonków,</w:t>
      </w:r>
    </w:p>
    <w:p w:rsidR="00BF69FB" w:rsidRPr="0033309E" w:rsidRDefault="00BF69FB" w:rsidP="00F84AB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wierzytelności z tytułu wynagrodzenia za pracę.</w:t>
      </w:r>
    </w:p>
    <w:p w:rsidR="00BF69FB" w:rsidRPr="0033309E" w:rsidRDefault="00BF69FB" w:rsidP="00F84ABF">
      <w:pPr>
        <w:shd w:val="clear" w:color="auto" w:fill="FFFFFF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‘</w:t>
      </w: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Sądem właściwym w sprawach o uzgodnienie treści księgi wieczystej z rzeczywistym stanem prawnym przy wartości przedmiotu sporu wynoszącej 1.000.000 zł jest:</w:t>
      </w:r>
    </w:p>
    <w:p w:rsidR="00BF69FB" w:rsidRPr="0033309E" w:rsidRDefault="00BF69FB" w:rsidP="00F84AB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rejonowy,</w:t>
      </w:r>
    </w:p>
    <w:p w:rsidR="00BF69FB" w:rsidRPr="0033309E" w:rsidRDefault="00BF69FB" w:rsidP="00F84AB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sąd okręgowy.</w:t>
      </w:r>
    </w:p>
    <w:p w:rsidR="00BF69FB" w:rsidRPr="0033309E" w:rsidRDefault="00BF69FB" w:rsidP="00F84ABF">
      <w:pPr>
        <w:pStyle w:val="Akapitzlist"/>
        <w:spacing w:after="0" w:line="360" w:lineRule="auto"/>
        <w:ind w:left="1080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cywilnym umowa przedwstępna sprzedaży nieruchomości:</w:t>
      </w:r>
    </w:p>
    <w:p w:rsidR="00BF69FB" w:rsidRPr="0033309E" w:rsidRDefault="00BF69FB" w:rsidP="00F84AB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lastRenderedPageBreak/>
        <w:t>dla swej ważności wymaga zawarcia w formie aktu notarialnego,</w:t>
      </w:r>
    </w:p>
    <w:p w:rsidR="00BF69FB" w:rsidRPr="0033309E" w:rsidRDefault="00BF69FB" w:rsidP="00F84AB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nie wymaga żadnej formy.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Zgodnie z Kodeksem postępowania cywilnego nakaz zapłaty w postępowaniu upominawczym:</w:t>
      </w:r>
    </w:p>
    <w:p w:rsidR="00BF69FB" w:rsidRPr="0033309E" w:rsidRDefault="00BF69FB" w:rsidP="00F84ABF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wydaje się tylko na wniosek </w:t>
      </w: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powoda zgłoszony w pozwie,</w:t>
      </w:r>
    </w:p>
    <w:p w:rsidR="00BF69FB" w:rsidRPr="0033309E" w:rsidRDefault="00BF69FB" w:rsidP="00F84ABF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eastAsia="Times New Roman" w:hAnsiTheme="majorHAnsi" w:cstheme="majorHAnsi"/>
          <w:sz w:val="24"/>
          <w:szCs w:val="24"/>
          <w:lang w:eastAsia="pl-PL"/>
        </w:rPr>
        <w:t>można wydać również, gdy takiego wniosku powód nie zawarł w pozwie.</w:t>
      </w:r>
    </w:p>
    <w:p w:rsidR="00BF69FB" w:rsidRPr="0033309E" w:rsidRDefault="00BF69FB" w:rsidP="00F84ABF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F69FB" w:rsidRPr="0033309E" w:rsidRDefault="00BF69FB" w:rsidP="00F84AB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 xml:space="preserve"> Testament zawierający oświadczenie woli więcej niż jednej osoby:</w:t>
      </w:r>
    </w:p>
    <w:p w:rsidR="001C5B25" w:rsidRPr="0033309E" w:rsidRDefault="00BF69FB" w:rsidP="00F84AB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jest nieważny,</w:t>
      </w:r>
    </w:p>
    <w:p w:rsidR="00C83E2E" w:rsidRPr="0033309E" w:rsidRDefault="001C5B25" w:rsidP="00F84AB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309E">
        <w:rPr>
          <w:rFonts w:asciiTheme="majorHAnsi" w:hAnsiTheme="majorHAnsi" w:cstheme="majorHAnsi"/>
          <w:sz w:val="24"/>
          <w:szCs w:val="24"/>
        </w:rPr>
        <w:t>j</w:t>
      </w:r>
      <w:r w:rsidR="00BF69FB" w:rsidRPr="0033309E">
        <w:rPr>
          <w:rFonts w:asciiTheme="majorHAnsi" w:hAnsiTheme="majorHAnsi" w:cstheme="majorHAnsi"/>
          <w:sz w:val="24"/>
          <w:szCs w:val="24"/>
        </w:rPr>
        <w:t>est ważny.</w:t>
      </w:r>
    </w:p>
    <w:p w:rsidR="001C5B25" w:rsidRDefault="001C5B25" w:rsidP="00C83E2E">
      <w:pPr>
        <w:spacing w:line="360" w:lineRule="auto"/>
        <w:ind w:firstLine="708"/>
        <w:jc w:val="both"/>
        <w:rPr>
          <w:rFonts w:asciiTheme="majorHAnsi" w:hAnsiTheme="majorHAnsi" w:cs="Arial"/>
          <w:b/>
          <w:sz w:val="24"/>
          <w:szCs w:val="24"/>
        </w:rPr>
      </w:pPr>
    </w:p>
    <w:p w:rsidR="001C5B25" w:rsidRDefault="001C5B25" w:rsidP="00C83E2E">
      <w:pPr>
        <w:spacing w:line="360" w:lineRule="auto"/>
        <w:ind w:firstLine="708"/>
        <w:jc w:val="both"/>
        <w:rPr>
          <w:rFonts w:asciiTheme="majorHAnsi" w:hAnsiTheme="majorHAnsi" w:cs="Arial"/>
          <w:b/>
          <w:sz w:val="24"/>
          <w:szCs w:val="24"/>
        </w:rPr>
      </w:pPr>
    </w:p>
    <w:p w:rsidR="00C83E2E" w:rsidRPr="00843A13" w:rsidRDefault="00C83E2E" w:rsidP="00C83E2E">
      <w:pPr>
        <w:spacing w:line="360" w:lineRule="auto"/>
        <w:ind w:firstLine="708"/>
        <w:jc w:val="both"/>
        <w:rPr>
          <w:rFonts w:asciiTheme="majorHAnsi" w:hAnsiTheme="majorHAnsi" w:cs="Arial"/>
          <w:b/>
          <w:sz w:val="24"/>
          <w:szCs w:val="24"/>
        </w:rPr>
      </w:pPr>
      <w:r w:rsidRPr="00633DB1">
        <w:rPr>
          <w:rFonts w:asciiTheme="majorHAnsi" w:hAnsiTheme="majorHAnsi" w:cs="Arial"/>
          <w:b/>
          <w:sz w:val="24"/>
          <w:szCs w:val="24"/>
        </w:rPr>
        <w:t>Temat</w:t>
      </w:r>
      <w:r>
        <w:rPr>
          <w:rFonts w:asciiTheme="majorHAnsi" w:hAnsiTheme="majorHAnsi" w:cs="Arial"/>
          <w:b/>
          <w:sz w:val="24"/>
          <w:szCs w:val="24"/>
        </w:rPr>
        <w:t>y</w:t>
      </w:r>
      <w:r w:rsidRPr="00633DB1">
        <w:rPr>
          <w:rFonts w:asciiTheme="majorHAnsi" w:hAnsiTheme="majorHAnsi" w:cs="Arial"/>
          <w:b/>
          <w:sz w:val="24"/>
          <w:szCs w:val="24"/>
        </w:rPr>
        <w:t xml:space="preserve"> pracy pisemnej:</w:t>
      </w:r>
    </w:p>
    <w:p w:rsidR="00C83E2E" w:rsidRPr="00843A13" w:rsidRDefault="00244A28" w:rsidP="00C83E2E">
      <w:pPr>
        <w:pStyle w:val="Akapitzlist"/>
        <w:numPr>
          <w:ilvl w:val="3"/>
          <w:numId w:val="1"/>
        </w:numPr>
        <w:spacing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Warunkowe umorzenie postępowania karnego</w:t>
      </w:r>
      <w:r w:rsidR="00C83E2E" w:rsidRPr="00843A13">
        <w:rPr>
          <w:rFonts w:asciiTheme="majorHAnsi" w:hAnsiTheme="majorHAnsi" w:cs="Arial"/>
          <w:b/>
          <w:sz w:val="24"/>
          <w:szCs w:val="24"/>
        </w:rPr>
        <w:t>. Podstawy i zasady stosowania. Obowiązki okresu próby.</w:t>
      </w:r>
      <w:r>
        <w:rPr>
          <w:rFonts w:asciiTheme="majorHAnsi" w:hAnsiTheme="majorHAnsi" w:cs="Arial"/>
          <w:b/>
          <w:sz w:val="24"/>
          <w:szCs w:val="24"/>
        </w:rPr>
        <w:t xml:space="preserve"> W j</w:t>
      </w:r>
      <w:r w:rsidR="0033309E">
        <w:rPr>
          <w:rFonts w:asciiTheme="majorHAnsi" w:hAnsiTheme="majorHAnsi" w:cs="Arial"/>
          <w:b/>
          <w:sz w:val="24"/>
          <w:szCs w:val="24"/>
        </w:rPr>
        <w:t>akich przypadkach następuje podjęcie warunkowo umorzonego postępowania.</w:t>
      </w:r>
    </w:p>
    <w:p w:rsidR="00C83E2E" w:rsidRPr="00D962D1" w:rsidRDefault="001C5B25" w:rsidP="00C83E2E">
      <w:pPr>
        <w:pStyle w:val="Akapitzlist"/>
        <w:numPr>
          <w:ilvl w:val="3"/>
          <w:numId w:val="1"/>
        </w:numPr>
        <w:spacing w:line="360" w:lineRule="auto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Instytucja zachowku</w:t>
      </w:r>
      <w:r w:rsidR="00C83E2E" w:rsidRPr="00D962D1">
        <w:rPr>
          <w:rFonts w:asciiTheme="majorHAnsi" w:hAnsiTheme="majorHAnsi" w:cs="Arial"/>
          <w:b/>
          <w:sz w:val="24"/>
          <w:szCs w:val="24"/>
        </w:rPr>
        <w:t>.</w:t>
      </w:r>
    </w:p>
    <w:p w:rsidR="00C83E2E" w:rsidRPr="00D962D1" w:rsidRDefault="00C83E2E" w:rsidP="00C83E2E">
      <w:pPr>
        <w:ind w:left="1080"/>
        <w:jc w:val="both"/>
        <w:rPr>
          <w:rFonts w:asciiTheme="majorHAnsi" w:eastAsia="Arial Unicode MS" w:hAnsiTheme="majorHAnsi" w:cs="Arial"/>
          <w:b/>
          <w:sz w:val="24"/>
          <w:szCs w:val="24"/>
        </w:rPr>
      </w:pPr>
    </w:p>
    <w:p w:rsidR="00EC0F43" w:rsidRDefault="00EC0F43"/>
    <w:sectPr w:rsidR="00EC0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8E8" w:rsidRDefault="009B58E8" w:rsidP="00184349">
      <w:pPr>
        <w:spacing w:after="0" w:line="240" w:lineRule="auto"/>
      </w:pPr>
      <w:r>
        <w:separator/>
      </w:r>
    </w:p>
  </w:endnote>
  <w:endnote w:type="continuationSeparator" w:id="0">
    <w:p w:rsidR="009B58E8" w:rsidRDefault="009B58E8" w:rsidP="00184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8E8" w:rsidRDefault="009B58E8" w:rsidP="00184349">
      <w:pPr>
        <w:spacing w:after="0" w:line="240" w:lineRule="auto"/>
      </w:pPr>
      <w:r>
        <w:separator/>
      </w:r>
    </w:p>
  </w:footnote>
  <w:footnote w:type="continuationSeparator" w:id="0">
    <w:p w:rsidR="009B58E8" w:rsidRDefault="009B58E8" w:rsidP="00184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1B2B"/>
    <w:multiLevelType w:val="hybridMultilevel"/>
    <w:tmpl w:val="52CCEFC6"/>
    <w:lvl w:ilvl="0" w:tplc="13DC4B78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B1D82"/>
    <w:multiLevelType w:val="hybridMultilevel"/>
    <w:tmpl w:val="93A6BCFE"/>
    <w:lvl w:ilvl="0" w:tplc="13760BE2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046BD"/>
    <w:multiLevelType w:val="hybridMultilevel"/>
    <w:tmpl w:val="0F76988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6F15C7"/>
    <w:multiLevelType w:val="hybridMultilevel"/>
    <w:tmpl w:val="9A309096"/>
    <w:lvl w:ilvl="0" w:tplc="7C7068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018CE"/>
    <w:multiLevelType w:val="hybridMultilevel"/>
    <w:tmpl w:val="B532CCB0"/>
    <w:lvl w:ilvl="0" w:tplc="8D707896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0B6B3F8D"/>
    <w:multiLevelType w:val="hybridMultilevel"/>
    <w:tmpl w:val="0D32826A"/>
    <w:lvl w:ilvl="0" w:tplc="2D6CE3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BB4FBA"/>
    <w:multiLevelType w:val="hybridMultilevel"/>
    <w:tmpl w:val="B4EE877E"/>
    <w:lvl w:ilvl="0" w:tplc="C8F4B8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573E3E"/>
    <w:multiLevelType w:val="hybridMultilevel"/>
    <w:tmpl w:val="0EC2A472"/>
    <w:lvl w:ilvl="0" w:tplc="04150019">
      <w:start w:val="1"/>
      <w:numFmt w:val="lowerLetter"/>
      <w:lvlText w:val="%1.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20411906"/>
    <w:multiLevelType w:val="hybridMultilevel"/>
    <w:tmpl w:val="BFC8E780"/>
    <w:lvl w:ilvl="0" w:tplc="0936D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B12EF3"/>
    <w:multiLevelType w:val="hybridMultilevel"/>
    <w:tmpl w:val="3FB6B3B8"/>
    <w:lvl w:ilvl="0" w:tplc="336E7CEA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A743EB"/>
    <w:multiLevelType w:val="hybridMultilevel"/>
    <w:tmpl w:val="DDDCD356"/>
    <w:lvl w:ilvl="0" w:tplc="293C4A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B7548"/>
    <w:multiLevelType w:val="hybridMultilevel"/>
    <w:tmpl w:val="EA240BAC"/>
    <w:lvl w:ilvl="0" w:tplc="536E0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A116D0"/>
    <w:multiLevelType w:val="hybridMultilevel"/>
    <w:tmpl w:val="A9FEFC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976617"/>
    <w:multiLevelType w:val="hybridMultilevel"/>
    <w:tmpl w:val="3CD8BF14"/>
    <w:lvl w:ilvl="0" w:tplc="EB4C5922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D10DF8"/>
    <w:multiLevelType w:val="hybridMultilevel"/>
    <w:tmpl w:val="A104A474"/>
    <w:lvl w:ilvl="0" w:tplc="D884C9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B43C21"/>
    <w:multiLevelType w:val="hybridMultilevel"/>
    <w:tmpl w:val="A12A761E"/>
    <w:lvl w:ilvl="0" w:tplc="DD5234F6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7C4D52"/>
    <w:multiLevelType w:val="hybridMultilevel"/>
    <w:tmpl w:val="EB56C0A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1887ABB"/>
    <w:multiLevelType w:val="hybridMultilevel"/>
    <w:tmpl w:val="9230C25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BA2658"/>
    <w:multiLevelType w:val="hybridMultilevel"/>
    <w:tmpl w:val="B62EB74A"/>
    <w:lvl w:ilvl="0" w:tplc="06A09CC8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9B05A9"/>
    <w:multiLevelType w:val="hybridMultilevel"/>
    <w:tmpl w:val="45786E22"/>
    <w:lvl w:ilvl="0" w:tplc="311447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6868B8"/>
    <w:multiLevelType w:val="hybridMultilevel"/>
    <w:tmpl w:val="BA9A4DA8"/>
    <w:lvl w:ilvl="0" w:tplc="0E8207DA">
      <w:start w:val="1"/>
      <w:numFmt w:val="lowerLetter"/>
      <w:lvlText w:val="%1."/>
      <w:lvlJc w:val="left"/>
      <w:pPr>
        <w:ind w:left="2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08" w:hanging="360"/>
      </w:pPr>
    </w:lvl>
    <w:lvl w:ilvl="2" w:tplc="0415001B" w:tentative="1">
      <w:start w:val="1"/>
      <w:numFmt w:val="lowerRoman"/>
      <w:lvlText w:val="%3."/>
      <w:lvlJc w:val="right"/>
      <w:pPr>
        <w:ind w:left="3828" w:hanging="180"/>
      </w:pPr>
    </w:lvl>
    <w:lvl w:ilvl="3" w:tplc="0415000F" w:tentative="1">
      <w:start w:val="1"/>
      <w:numFmt w:val="decimal"/>
      <w:lvlText w:val="%4."/>
      <w:lvlJc w:val="left"/>
      <w:pPr>
        <w:ind w:left="4548" w:hanging="360"/>
      </w:pPr>
    </w:lvl>
    <w:lvl w:ilvl="4" w:tplc="04150019" w:tentative="1">
      <w:start w:val="1"/>
      <w:numFmt w:val="lowerLetter"/>
      <w:lvlText w:val="%5."/>
      <w:lvlJc w:val="left"/>
      <w:pPr>
        <w:ind w:left="5268" w:hanging="360"/>
      </w:pPr>
    </w:lvl>
    <w:lvl w:ilvl="5" w:tplc="0415001B" w:tentative="1">
      <w:start w:val="1"/>
      <w:numFmt w:val="lowerRoman"/>
      <w:lvlText w:val="%6."/>
      <w:lvlJc w:val="right"/>
      <w:pPr>
        <w:ind w:left="5988" w:hanging="180"/>
      </w:pPr>
    </w:lvl>
    <w:lvl w:ilvl="6" w:tplc="0415000F" w:tentative="1">
      <w:start w:val="1"/>
      <w:numFmt w:val="decimal"/>
      <w:lvlText w:val="%7."/>
      <w:lvlJc w:val="left"/>
      <w:pPr>
        <w:ind w:left="6708" w:hanging="360"/>
      </w:pPr>
    </w:lvl>
    <w:lvl w:ilvl="7" w:tplc="04150019" w:tentative="1">
      <w:start w:val="1"/>
      <w:numFmt w:val="lowerLetter"/>
      <w:lvlText w:val="%8."/>
      <w:lvlJc w:val="left"/>
      <w:pPr>
        <w:ind w:left="7428" w:hanging="360"/>
      </w:pPr>
    </w:lvl>
    <w:lvl w:ilvl="8" w:tplc="0415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1" w15:restartNumberingAfterBreak="0">
    <w:nsid w:val="42FD146F"/>
    <w:multiLevelType w:val="hybridMultilevel"/>
    <w:tmpl w:val="26E8FE52"/>
    <w:lvl w:ilvl="0" w:tplc="29423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355BAD"/>
    <w:multiLevelType w:val="hybridMultilevel"/>
    <w:tmpl w:val="0EB0EDD8"/>
    <w:lvl w:ilvl="0" w:tplc="E236CB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713A9A"/>
    <w:multiLevelType w:val="hybridMultilevel"/>
    <w:tmpl w:val="9C8061E2"/>
    <w:lvl w:ilvl="0" w:tplc="B906CFA0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CE7F14"/>
    <w:multiLevelType w:val="hybridMultilevel"/>
    <w:tmpl w:val="D4F8D4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92AE0"/>
    <w:multiLevelType w:val="hybridMultilevel"/>
    <w:tmpl w:val="FAE819EE"/>
    <w:lvl w:ilvl="0" w:tplc="D5D84A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C1574"/>
    <w:multiLevelType w:val="hybridMultilevel"/>
    <w:tmpl w:val="78A4BC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00B15"/>
    <w:multiLevelType w:val="hybridMultilevel"/>
    <w:tmpl w:val="C63202B4"/>
    <w:lvl w:ilvl="0" w:tplc="7BFA8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4304D"/>
    <w:multiLevelType w:val="hybridMultilevel"/>
    <w:tmpl w:val="642A17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2A0298C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110A5"/>
    <w:multiLevelType w:val="hybridMultilevel"/>
    <w:tmpl w:val="A104A474"/>
    <w:lvl w:ilvl="0" w:tplc="D884C9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807DE6"/>
    <w:multiLevelType w:val="hybridMultilevel"/>
    <w:tmpl w:val="EC86759C"/>
    <w:lvl w:ilvl="0" w:tplc="A9301B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B57401"/>
    <w:multiLevelType w:val="hybridMultilevel"/>
    <w:tmpl w:val="F586ACA4"/>
    <w:lvl w:ilvl="0" w:tplc="8C26FB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E40093"/>
    <w:multiLevelType w:val="hybridMultilevel"/>
    <w:tmpl w:val="FA6CB696"/>
    <w:lvl w:ilvl="0" w:tplc="4418D4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E63695"/>
    <w:multiLevelType w:val="hybridMultilevel"/>
    <w:tmpl w:val="BDEED4AC"/>
    <w:lvl w:ilvl="0" w:tplc="6C300AFA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22634"/>
    <w:multiLevelType w:val="hybridMultilevel"/>
    <w:tmpl w:val="862262FA"/>
    <w:lvl w:ilvl="0" w:tplc="6A1C4714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194583"/>
    <w:multiLevelType w:val="hybridMultilevel"/>
    <w:tmpl w:val="39D030DC"/>
    <w:lvl w:ilvl="0" w:tplc="BAFCD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CA41C8"/>
    <w:multiLevelType w:val="hybridMultilevel"/>
    <w:tmpl w:val="BF466986"/>
    <w:lvl w:ilvl="0" w:tplc="5AA61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CA2096"/>
    <w:multiLevelType w:val="hybridMultilevel"/>
    <w:tmpl w:val="066464FA"/>
    <w:lvl w:ilvl="0" w:tplc="44BAEF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305ED6"/>
    <w:multiLevelType w:val="hybridMultilevel"/>
    <w:tmpl w:val="219488AE"/>
    <w:lvl w:ilvl="0" w:tplc="1C9E1B26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E16708"/>
    <w:multiLevelType w:val="hybridMultilevel"/>
    <w:tmpl w:val="40E0263C"/>
    <w:lvl w:ilvl="0" w:tplc="27EAACB8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663084"/>
    <w:multiLevelType w:val="hybridMultilevel"/>
    <w:tmpl w:val="7DFC8CAE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1" w15:restartNumberingAfterBreak="0">
    <w:nsid w:val="6E5A3CAC"/>
    <w:multiLevelType w:val="hybridMultilevel"/>
    <w:tmpl w:val="CBBA2992"/>
    <w:lvl w:ilvl="0" w:tplc="445A8B06">
      <w:start w:val="1"/>
      <w:numFmt w:val="lowerLetter"/>
      <w:lvlText w:val="%1."/>
      <w:lvlJc w:val="left"/>
      <w:pPr>
        <w:ind w:left="1080" w:hanging="360"/>
      </w:pPr>
      <w:rPr>
        <w:rFonts w:asciiTheme="majorHAnsi" w:eastAsiaTheme="minorHAnsi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5D7CE0"/>
    <w:multiLevelType w:val="hybridMultilevel"/>
    <w:tmpl w:val="A8AEAA72"/>
    <w:lvl w:ilvl="0" w:tplc="33409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306267"/>
    <w:multiLevelType w:val="hybridMultilevel"/>
    <w:tmpl w:val="877AFCAC"/>
    <w:lvl w:ilvl="0" w:tplc="E71A8B2A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36F2E03"/>
    <w:multiLevelType w:val="hybridMultilevel"/>
    <w:tmpl w:val="E7A66392"/>
    <w:lvl w:ilvl="0" w:tplc="6060DDB2">
      <w:start w:val="1"/>
      <w:numFmt w:val="lowerLetter"/>
      <w:lvlText w:val="%1."/>
      <w:lvlJc w:val="left"/>
      <w:pPr>
        <w:ind w:left="1080" w:hanging="360"/>
      </w:pPr>
      <w:rPr>
        <w:rFonts w:asciiTheme="majorHAnsi" w:eastAsia="Times New Roman" w:hAnsiTheme="maj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09390B"/>
    <w:multiLevelType w:val="hybridMultilevel"/>
    <w:tmpl w:val="4CB40D22"/>
    <w:lvl w:ilvl="0" w:tplc="1CF8C8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71D7717"/>
    <w:multiLevelType w:val="hybridMultilevel"/>
    <w:tmpl w:val="FB04885C"/>
    <w:lvl w:ilvl="0" w:tplc="421CA0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2D69D4"/>
    <w:multiLevelType w:val="hybridMultilevel"/>
    <w:tmpl w:val="AFF83A7C"/>
    <w:lvl w:ilvl="0" w:tplc="1062D2F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A34C172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6B4A6E86">
      <w:start w:val="1"/>
      <w:numFmt w:val="lowerLetter"/>
      <w:lvlText w:val="%3."/>
      <w:lvlJc w:val="left"/>
      <w:pPr>
        <w:ind w:left="2340" w:hanging="360"/>
      </w:pPr>
      <w:rPr>
        <w:rFonts w:ascii="Verdana" w:hAnsi="Verdana" w:hint="default"/>
        <w:color w:val="000000"/>
        <w:sz w:val="20"/>
      </w:rPr>
    </w:lvl>
    <w:lvl w:ilvl="3" w:tplc="F5A688E6">
      <w:start w:val="1"/>
      <w:numFmt w:val="decimal"/>
      <w:lvlText w:val="%4."/>
      <w:lvlJc w:val="left"/>
      <w:pPr>
        <w:ind w:left="2880" w:hanging="360"/>
      </w:pPr>
      <w:rPr>
        <w:rFonts w:asciiTheme="majorHAnsi" w:eastAsiaTheme="minorHAnsi" w:hAnsiTheme="majorHAnsi" w:cs="Arial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B66AAB"/>
    <w:multiLevelType w:val="hybridMultilevel"/>
    <w:tmpl w:val="042C76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7"/>
  </w:num>
  <w:num w:numId="2">
    <w:abstractNumId w:val="7"/>
  </w:num>
  <w:num w:numId="3">
    <w:abstractNumId w:val="24"/>
  </w:num>
  <w:num w:numId="4">
    <w:abstractNumId w:val="28"/>
  </w:num>
  <w:num w:numId="5">
    <w:abstractNumId w:val="40"/>
  </w:num>
  <w:num w:numId="6">
    <w:abstractNumId w:val="17"/>
  </w:num>
  <w:num w:numId="7">
    <w:abstractNumId w:val="23"/>
  </w:num>
  <w:num w:numId="8">
    <w:abstractNumId w:val="43"/>
  </w:num>
  <w:num w:numId="9">
    <w:abstractNumId w:val="14"/>
  </w:num>
  <w:num w:numId="10">
    <w:abstractNumId w:val="39"/>
  </w:num>
  <w:num w:numId="11">
    <w:abstractNumId w:val="44"/>
  </w:num>
  <w:num w:numId="12">
    <w:abstractNumId w:val="9"/>
  </w:num>
  <w:num w:numId="13">
    <w:abstractNumId w:val="33"/>
  </w:num>
  <w:num w:numId="14">
    <w:abstractNumId w:val="37"/>
  </w:num>
  <w:num w:numId="15">
    <w:abstractNumId w:val="1"/>
  </w:num>
  <w:num w:numId="16">
    <w:abstractNumId w:val="18"/>
  </w:num>
  <w:num w:numId="17">
    <w:abstractNumId w:val="0"/>
  </w:num>
  <w:num w:numId="18">
    <w:abstractNumId w:val="15"/>
  </w:num>
  <w:num w:numId="19">
    <w:abstractNumId w:val="38"/>
  </w:num>
  <w:num w:numId="20">
    <w:abstractNumId w:val="41"/>
  </w:num>
  <w:num w:numId="21">
    <w:abstractNumId w:val="34"/>
  </w:num>
  <w:num w:numId="22">
    <w:abstractNumId w:val="13"/>
  </w:num>
  <w:num w:numId="23">
    <w:abstractNumId w:val="29"/>
  </w:num>
  <w:num w:numId="24">
    <w:abstractNumId w:val="10"/>
  </w:num>
  <w:num w:numId="25">
    <w:abstractNumId w:val="6"/>
  </w:num>
  <w:num w:numId="26">
    <w:abstractNumId w:val="11"/>
  </w:num>
  <w:num w:numId="27">
    <w:abstractNumId w:val="5"/>
  </w:num>
  <w:num w:numId="28">
    <w:abstractNumId w:val="19"/>
  </w:num>
  <w:num w:numId="29">
    <w:abstractNumId w:val="22"/>
  </w:num>
  <w:num w:numId="30">
    <w:abstractNumId w:val="36"/>
  </w:num>
  <w:num w:numId="31">
    <w:abstractNumId w:val="46"/>
  </w:num>
  <w:num w:numId="32">
    <w:abstractNumId w:val="8"/>
  </w:num>
  <w:num w:numId="33">
    <w:abstractNumId w:val="35"/>
  </w:num>
  <w:num w:numId="34">
    <w:abstractNumId w:val="42"/>
  </w:num>
  <w:num w:numId="35">
    <w:abstractNumId w:val="32"/>
  </w:num>
  <w:num w:numId="36">
    <w:abstractNumId w:val="25"/>
  </w:num>
  <w:num w:numId="37">
    <w:abstractNumId w:val="21"/>
  </w:num>
  <w:num w:numId="38">
    <w:abstractNumId w:val="27"/>
  </w:num>
  <w:num w:numId="39">
    <w:abstractNumId w:val="3"/>
  </w:num>
  <w:num w:numId="40">
    <w:abstractNumId w:val="45"/>
  </w:num>
  <w:num w:numId="41">
    <w:abstractNumId w:val="31"/>
  </w:num>
  <w:num w:numId="42">
    <w:abstractNumId w:val="2"/>
  </w:num>
  <w:num w:numId="43">
    <w:abstractNumId w:val="16"/>
  </w:num>
  <w:num w:numId="44">
    <w:abstractNumId w:val="48"/>
  </w:num>
  <w:num w:numId="45">
    <w:abstractNumId w:val="12"/>
  </w:num>
  <w:num w:numId="46">
    <w:abstractNumId w:val="26"/>
  </w:num>
  <w:num w:numId="47">
    <w:abstractNumId w:val="4"/>
  </w:num>
  <w:num w:numId="48">
    <w:abstractNumId w:val="30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2E"/>
    <w:rsid w:val="00184349"/>
    <w:rsid w:val="001C5B25"/>
    <w:rsid w:val="00244A28"/>
    <w:rsid w:val="002D2D27"/>
    <w:rsid w:val="00303AF9"/>
    <w:rsid w:val="003259F6"/>
    <w:rsid w:val="0033309E"/>
    <w:rsid w:val="003364A2"/>
    <w:rsid w:val="00404EDA"/>
    <w:rsid w:val="005A145D"/>
    <w:rsid w:val="00714089"/>
    <w:rsid w:val="00753490"/>
    <w:rsid w:val="008D0D54"/>
    <w:rsid w:val="009B58E8"/>
    <w:rsid w:val="00A133CC"/>
    <w:rsid w:val="00A551E3"/>
    <w:rsid w:val="00BF69FB"/>
    <w:rsid w:val="00C34D44"/>
    <w:rsid w:val="00C83E2E"/>
    <w:rsid w:val="00CF2A0F"/>
    <w:rsid w:val="00D66BDA"/>
    <w:rsid w:val="00DA5E70"/>
    <w:rsid w:val="00E44BC0"/>
    <w:rsid w:val="00EC0F43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4150F-3F4E-459D-91FC-03AD1E25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3E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3E2E"/>
    <w:pPr>
      <w:ind w:left="720"/>
      <w:contextualSpacing/>
    </w:pPr>
  </w:style>
  <w:style w:type="character" w:customStyle="1" w:styleId="Bodytext">
    <w:name w:val="Body text_"/>
    <w:basedOn w:val="Domylnaczcionkaakapitu"/>
    <w:link w:val="Tekstpodstawowy1"/>
    <w:rsid w:val="00C83E2E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BodytextTimesNewRoman115pt">
    <w:name w:val="Body text + Times New Roman;11;5 pt"/>
    <w:basedOn w:val="Bodytext"/>
    <w:rsid w:val="00C83E2E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Tekstpodstawowy1">
    <w:name w:val="Tekst podstawowy1"/>
    <w:basedOn w:val="Normalny"/>
    <w:link w:val="Bodytext"/>
    <w:rsid w:val="00C83E2E"/>
    <w:pPr>
      <w:widowControl w:val="0"/>
      <w:shd w:val="clear" w:color="auto" w:fill="FFFFFF"/>
      <w:spacing w:after="780" w:line="0" w:lineRule="atLeast"/>
      <w:ind w:hanging="720"/>
      <w:jc w:val="both"/>
    </w:pPr>
    <w:rPr>
      <w:rFonts w:ascii="Tahoma" w:eastAsia="Tahoma" w:hAnsi="Tahoma" w:cs="Tahoma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43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43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4349"/>
    <w:rPr>
      <w:vertAlign w:val="superscript"/>
    </w:rPr>
  </w:style>
  <w:style w:type="character" w:customStyle="1" w:styleId="alb-s">
    <w:name w:val="a_lb-s"/>
    <w:basedOn w:val="Domylnaczcionkaakapitu"/>
    <w:rsid w:val="00BF69FB"/>
  </w:style>
  <w:style w:type="paragraph" w:styleId="Tekstdymka">
    <w:name w:val="Balloon Text"/>
    <w:basedOn w:val="Normalny"/>
    <w:link w:val="TekstdymkaZnak"/>
    <w:uiPriority w:val="99"/>
    <w:semiHidden/>
    <w:unhideWhenUsed/>
    <w:rsid w:val="00A1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Radke Katarzyna</dc:creator>
  <cp:keywords/>
  <dc:description/>
  <cp:lastModifiedBy>Preis Halina</cp:lastModifiedBy>
  <cp:revision>2</cp:revision>
  <cp:lastPrinted>2022-11-08T11:06:00Z</cp:lastPrinted>
  <dcterms:created xsi:type="dcterms:W3CDTF">2024-04-23T08:51:00Z</dcterms:created>
  <dcterms:modified xsi:type="dcterms:W3CDTF">2024-04-23T08:51:00Z</dcterms:modified>
</cp:coreProperties>
</file>