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E18" w:rsidRPr="003F2E18" w:rsidRDefault="00505C0A" w:rsidP="003F2E18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Leszno, dnia 11 grudnia</w:t>
      </w:r>
      <w:r w:rsidR="003F2E18" w:rsidRPr="003F2E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2024r.</w:t>
      </w:r>
    </w:p>
    <w:p w:rsidR="003F2E18" w:rsidRPr="003F2E18" w:rsidRDefault="003F2E18" w:rsidP="003F2E18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2E18" w:rsidRPr="003F2E18" w:rsidRDefault="003F2E18" w:rsidP="003F2E18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F2E18" w:rsidRPr="003F2E18" w:rsidRDefault="003F2E18" w:rsidP="003F2E1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E18">
        <w:rPr>
          <w:rFonts w:ascii="Times New Roman" w:hAnsi="Times New Roman" w:cs="Times New Roman"/>
          <w:b/>
          <w:sz w:val="24"/>
          <w:szCs w:val="24"/>
        </w:rPr>
        <w:t>KONKURS NA ST</w:t>
      </w:r>
      <w:r w:rsidR="00505C0A">
        <w:rPr>
          <w:rFonts w:ascii="Times New Roman" w:hAnsi="Times New Roman" w:cs="Times New Roman"/>
          <w:b/>
          <w:sz w:val="24"/>
          <w:szCs w:val="24"/>
        </w:rPr>
        <w:t>ANOWISKO ASYSTENTA SĘDZIEGO NR 3</w:t>
      </w:r>
      <w:bookmarkStart w:id="0" w:name="_GoBack"/>
      <w:bookmarkEnd w:id="0"/>
      <w:r w:rsidRPr="003F2E18">
        <w:rPr>
          <w:rFonts w:ascii="Times New Roman" w:hAnsi="Times New Roman" w:cs="Times New Roman"/>
          <w:b/>
          <w:sz w:val="24"/>
          <w:szCs w:val="24"/>
        </w:rPr>
        <w:t>/2024</w:t>
      </w:r>
    </w:p>
    <w:p w:rsidR="003F2E18" w:rsidRPr="003F2E18" w:rsidRDefault="003F2E18" w:rsidP="003F2E1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E18">
        <w:rPr>
          <w:rFonts w:ascii="Times New Roman" w:hAnsi="Times New Roman" w:cs="Times New Roman"/>
          <w:b/>
          <w:sz w:val="24"/>
          <w:szCs w:val="24"/>
        </w:rPr>
        <w:t>II ETAP KONKURSU</w:t>
      </w:r>
    </w:p>
    <w:p w:rsidR="003F2E18" w:rsidRPr="003F2E18" w:rsidRDefault="003F2E18" w:rsidP="003F2E18">
      <w:pPr>
        <w:spacing w:after="0" w:line="240" w:lineRule="auto"/>
        <w:ind w:right="-82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2E18" w:rsidRPr="003F2E18" w:rsidRDefault="003F2E18" w:rsidP="003F2E18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TEST -</w:t>
      </w:r>
      <w:r w:rsidRPr="003F2E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blok cywilny</w:t>
      </w:r>
    </w:p>
    <w:p w:rsidR="003F2E18" w:rsidRPr="003F2E18" w:rsidRDefault="003F2E18" w:rsidP="003F2E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3F2E18" w:rsidRPr="003F2E18" w:rsidRDefault="003F2E18" w:rsidP="003F2E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komisja przyznaje 1 punkt. W przypadku dokonania przez kandydata zmian zakreślonych</w:t>
      </w:r>
    </w:p>
    <w:p w:rsidR="003F2E18" w:rsidRPr="003F2E18" w:rsidRDefault="003F2E18" w:rsidP="003F2E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odpowiedzi za dane zadanie testowe komisja przyznaje 0 punktów.</w:t>
      </w:r>
    </w:p>
    <w:p w:rsidR="003F2E18" w:rsidRPr="003F2E18" w:rsidRDefault="003F2E18" w:rsidP="003F2E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E18" w:rsidRPr="003F2E18" w:rsidRDefault="003F2E18" w:rsidP="003F2E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E18" w:rsidRPr="003F2E18" w:rsidRDefault="003F2E18" w:rsidP="003F2E1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2E18">
        <w:rPr>
          <w:rFonts w:ascii="Times New Roman" w:hAnsi="Times New Roman" w:cs="Times New Roman"/>
          <w:sz w:val="24"/>
          <w:szCs w:val="24"/>
        </w:rPr>
        <w:t>Imię i nazwisko kandydata - .....................................................................................................</w:t>
      </w:r>
    </w:p>
    <w:p w:rsidR="003F2E18" w:rsidRPr="003F2E18" w:rsidRDefault="003F2E18" w:rsidP="003F2E1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2E18" w:rsidRPr="003F2E18" w:rsidRDefault="00AD2A66" w:rsidP="000F17DF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Zgodnie z przepisami Kodeksu cywilnego, firma osoby fizycznej:</w:t>
      </w:r>
    </w:p>
    <w:p w:rsidR="003F2E18" w:rsidRPr="003F2E18" w:rsidRDefault="003F2E18" w:rsidP="003F2E18">
      <w:pPr>
        <w:pStyle w:val="Akapitzlist"/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</w:p>
    <w:p w:rsidR="003F2E18" w:rsidRPr="003F2E18" w:rsidRDefault="00AD2A66" w:rsidP="000F17DF">
      <w:pPr>
        <w:pStyle w:val="Akapitzlist"/>
        <w:numPr>
          <w:ilvl w:val="0"/>
          <w:numId w:val="2"/>
        </w:numPr>
        <w:spacing w:after="0"/>
        <w:ind w:firstLine="414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obejmuje jej imię i nazwisko;</w:t>
      </w:r>
    </w:p>
    <w:p w:rsidR="003F2E18" w:rsidRPr="003F2E18" w:rsidRDefault="00AD2A66" w:rsidP="000F17DF">
      <w:pPr>
        <w:pStyle w:val="Akapitzlist"/>
        <w:numPr>
          <w:ilvl w:val="0"/>
          <w:numId w:val="2"/>
        </w:numPr>
        <w:spacing w:after="0"/>
        <w:ind w:left="1418" w:hanging="284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obejmuje jej imię i nazwisko oraz obowiązkowo przedmiot</w:t>
      </w:r>
      <w:r w:rsidR="003F2E18" w:rsidRPr="003F2E18">
        <w:rPr>
          <w:rFonts w:ascii="Times New Roman" w:eastAsia="Times New Roman" w:hAnsi="Times New Roman" w:cs="Times New Roman"/>
          <w:szCs w:val="24"/>
          <w:lang w:eastAsia="pl-PL"/>
        </w:rPr>
        <w:t xml:space="preserve"> działalności    przedsiębiorcy;</w:t>
      </w:r>
    </w:p>
    <w:p w:rsidR="003F2E18" w:rsidRPr="003F2E18" w:rsidRDefault="00AD2A66" w:rsidP="000F17DF">
      <w:pPr>
        <w:pStyle w:val="Akapitzlist"/>
        <w:numPr>
          <w:ilvl w:val="0"/>
          <w:numId w:val="2"/>
        </w:numPr>
        <w:spacing w:after="0"/>
        <w:ind w:left="1418" w:hanging="284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obejmuje jej imię i nazwisko oraz obowiązkowo miejsce prowadzenia przez</w:t>
      </w:r>
      <w:r w:rsidR="003F2E18" w:rsidRPr="003F2E18">
        <w:rPr>
          <w:rFonts w:ascii="Times New Roman" w:eastAsia="Times New Roman" w:hAnsi="Times New Roman" w:cs="Times New Roman"/>
          <w:szCs w:val="24"/>
          <w:lang w:eastAsia="pl-PL"/>
        </w:rPr>
        <w:t xml:space="preserve">  </w:t>
      </w:r>
      <w:r w:rsidRPr="003F2E18">
        <w:rPr>
          <w:rFonts w:ascii="Times New Roman" w:eastAsia="Times New Roman" w:hAnsi="Times New Roman" w:cs="Times New Roman"/>
          <w:szCs w:val="24"/>
          <w:lang w:eastAsia="pl-PL"/>
        </w:rPr>
        <w:t>przedsiębiorcę</w:t>
      </w:r>
      <w:r w:rsidR="003F2E18" w:rsidRPr="003F2E1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3F2E18">
        <w:rPr>
          <w:rFonts w:ascii="Times New Roman" w:eastAsia="Times New Roman" w:hAnsi="Times New Roman" w:cs="Times New Roman"/>
          <w:szCs w:val="24"/>
          <w:lang w:eastAsia="pl-PL"/>
        </w:rPr>
        <w:t>działalności.</w:t>
      </w:r>
      <w:r w:rsidRPr="003F2E18">
        <w:rPr>
          <w:rFonts w:ascii="Times New Roman" w:eastAsia="Times New Roman" w:hAnsi="Times New Roman" w:cs="Times New Roman"/>
          <w:szCs w:val="24"/>
          <w:lang w:eastAsia="pl-PL"/>
        </w:rPr>
        <w:br/>
      </w:r>
    </w:p>
    <w:p w:rsidR="003F2E18" w:rsidRPr="003F2E18" w:rsidRDefault="005F0C99" w:rsidP="000F17DF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hAnsi="Times New Roman" w:cs="Times New Roman"/>
          <w:szCs w:val="24"/>
        </w:rPr>
        <w:t xml:space="preserve">Zgodnie z Kodeksem postępowania cywilnego, </w:t>
      </w:r>
      <w:r w:rsidRPr="003F2E18">
        <w:rPr>
          <w:rFonts w:ascii="Times New Roman" w:eastAsia="Times New Roman" w:hAnsi="Times New Roman" w:cs="Times New Roman"/>
          <w:szCs w:val="24"/>
          <w:lang w:eastAsia="pl-PL"/>
        </w:rPr>
        <w:t>apelację spóźnioną sąd drugiej instancji:</w:t>
      </w:r>
    </w:p>
    <w:p w:rsidR="003F2E18" w:rsidRPr="003F2E18" w:rsidRDefault="005F0C99" w:rsidP="000F17DF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bCs/>
          <w:szCs w:val="24"/>
          <w:lang w:eastAsia="pl-PL"/>
        </w:rPr>
        <w:t>zwraca wnoszącemu;</w:t>
      </w:r>
    </w:p>
    <w:p w:rsidR="003F2E18" w:rsidRPr="003F2E18" w:rsidRDefault="005F0C99" w:rsidP="000F17DF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bCs/>
          <w:szCs w:val="24"/>
          <w:lang w:eastAsia="pl-PL"/>
        </w:rPr>
        <w:t>pozostawia bez nadania jej biegu;</w:t>
      </w:r>
    </w:p>
    <w:p w:rsidR="00144079" w:rsidRPr="003F2E18" w:rsidRDefault="005F0C99" w:rsidP="000F17DF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3F2E18">
        <w:rPr>
          <w:rFonts w:ascii="Times New Roman" w:eastAsia="Times New Roman" w:hAnsi="Times New Roman" w:cs="Times New Roman"/>
          <w:bCs/>
          <w:szCs w:val="24"/>
          <w:lang w:eastAsia="pl-PL"/>
        </w:rPr>
        <w:t>odrzuca.</w:t>
      </w:r>
    </w:p>
    <w:p w:rsidR="00144079" w:rsidRPr="003F2E18" w:rsidRDefault="00144079" w:rsidP="00144079">
      <w:pPr>
        <w:pStyle w:val="Akapitzlist"/>
        <w:spacing w:after="0"/>
        <w:ind w:left="108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3F2E18" w:rsidRPr="003F2E18" w:rsidRDefault="00AD2A66" w:rsidP="000F17D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Zgodnie z przepisami Kodeksu postępowania cywilnego, koszty proc</w:t>
      </w:r>
      <w:r w:rsidR="003F2E18">
        <w:rPr>
          <w:rFonts w:ascii="Times New Roman" w:eastAsia="Times New Roman" w:hAnsi="Times New Roman" w:cs="Times New Roman"/>
          <w:szCs w:val="24"/>
          <w:lang w:eastAsia="pl-PL"/>
        </w:rPr>
        <w:t>esu, w którym zawarto ugodę:</w:t>
      </w:r>
    </w:p>
    <w:p w:rsidR="00E215C0" w:rsidRPr="00E215C0" w:rsidRDefault="003F2E18" w:rsidP="000F17D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Cs w:val="24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E215C0">
        <w:rPr>
          <w:rFonts w:ascii="Times New Roman" w:eastAsia="Times New Roman" w:hAnsi="Times New Roman" w:cs="Times New Roman"/>
          <w:szCs w:val="24"/>
          <w:lang w:eastAsia="pl-PL"/>
        </w:rPr>
        <w:t>ponosi pozwany;</w:t>
      </w:r>
    </w:p>
    <w:p w:rsidR="00E215C0" w:rsidRPr="00E215C0" w:rsidRDefault="00AD2A66" w:rsidP="000F17D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ponoszone są pr</w:t>
      </w:r>
      <w:r w:rsidR="00E215C0">
        <w:rPr>
          <w:rFonts w:ascii="Times New Roman" w:eastAsia="Times New Roman" w:hAnsi="Times New Roman" w:cs="Times New Roman"/>
          <w:szCs w:val="24"/>
          <w:lang w:eastAsia="pl-PL"/>
        </w:rPr>
        <w:t>zez strony w częściach równych;</w:t>
      </w:r>
    </w:p>
    <w:p w:rsidR="00AD2A66" w:rsidRPr="003F2E18" w:rsidRDefault="00AD2A66" w:rsidP="000F17D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znosi się wzajemnie, jeżeli strony nie postanowiły inaczej.</w:t>
      </w:r>
    </w:p>
    <w:p w:rsidR="00E215C0" w:rsidRDefault="00E215C0" w:rsidP="00E215C0">
      <w:pPr>
        <w:pStyle w:val="Akapitzlist"/>
        <w:spacing w:after="0"/>
        <w:ind w:left="1080"/>
        <w:jc w:val="both"/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</w:pPr>
    </w:p>
    <w:p w:rsidR="00E215C0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 xml:space="preserve">Zgodnie z kodeksem postępowania cywilnego </w:t>
      </w:r>
      <w:r w:rsidRPr="003F2E18">
        <w:rPr>
          <w:rFonts w:ascii="Times New Roman" w:eastAsia="Times New Roman" w:hAnsi="Times New Roman" w:cs="Times New Roman"/>
          <w:bCs/>
          <w:kern w:val="0"/>
          <w:szCs w:val="24"/>
          <w:lang w:eastAsia="pl-PL"/>
          <w14:ligatures w14:val="none"/>
        </w:rPr>
        <w:t>wniosek o wyłączenie sędziego oparty wyłącznie na okolicznościach związanych z rozstrzygnięciem przez sąd o dowodach należy:</w:t>
      </w:r>
    </w:p>
    <w:p w:rsidR="00E215C0" w:rsidRDefault="005F0C99" w:rsidP="000F17D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E215C0"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oddalić;</w:t>
      </w:r>
    </w:p>
    <w:p w:rsidR="00E215C0" w:rsidRDefault="005F0C99" w:rsidP="000F17D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E215C0">
        <w:rPr>
          <w:rFonts w:ascii="Times New Roman" w:hAnsi="Times New Roman" w:cs="Times New Roman"/>
          <w:szCs w:val="24"/>
        </w:rPr>
        <w:t>odrzucić;</w:t>
      </w:r>
    </w:p>
    <w:p w:rsidR="005F0C99" w:rsidRPr="00E215C0" w:rsidRDefault="005F0C99" w:rsidP="000F17D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E215C0">
        <w:rPr>
          <w:rFonts w:ascii="Times New Roman" w:hAnsi="Times New Roman" w:cs="Times New Roman"/>
          <w:szCs w:val="24"/>
        </w:rPr>
        <w:t>pozostawić w aktach sprawy bez żadnych dalszych czynności.</w:t>
      </w:r>
    </w:p>
    <w:p w:rsidR="00E215C0" w:rsidRPr="00E215C0" w:rsidRDefault="00E215C0" w:rsidP="00E215C0">
      <w:pPr>
        <w:pStyle w:val="Akapitzlist"/>
        <w:spacing w:after="0"/>
        <w:ind w:left="1440"/>
        <w:jc w:val="both"/>
        <w:rPr>
          <w:rFonts w:ascii="Times New Roman" w:hAnsi="Times New Roman" w:cs="Times New Roman"/>
          <w:bCs/>
          <w:szCs w:val="24"/>
        </w:rPr>
      </w:pPr>
    </w:p>
    <w:p w:rsidR="00E215C0" w:rsidRDefault="00AD2A66" w:rsidP="000F17DF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Zgodnie z przepisami Kodeksu postępowania cywilnego, przewodniczący może z ważnej</w:t>
      </w:r>
      <w:r w:rsidR="00E215C0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E215C0">
        <w:rPr>
          <w:rFonts w:ascii="Times New Roman" w:eastAsia="Times New Roman" w:hAnsi="Times New Roman" w:cs="Times New Roman"/>
          <w:szCs w:val="24"/>
          <w:lang w:eastAsia="pl-PL"/>
        </w:rPr>
        <w:t>przyczyny, na wniosek zgłoszony przed upływem terminu, przedłużyć lub skrócić:</w:t>
      </w:r>
    </w:p>
    <w:p w:rsidR="00E215C0" w:rsidRDefault="00AD2A66" w:rsidP="000F17D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 xml:space="preserve"> termin sądowy;</w:t>
      </w:r>
    </w:p>
    <w:p w:rsidR="00E215C0" w:rsidRDefault="00E215C0" w:rsidP="000F17D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termin ustawowy;</w:t>
      </w:r>
    </w:p>
    <w:p w:rsidR="00B31D15" w:rsidRPr="00E215C0" w:rsidRDefault="00AD2A66" w:rsidP="000F17D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termin sądowy oraz termin ustawowy.</w:t>
      </w:r>
      <w:r w:rsidRPr="00E215C0">
        <w:rPr>
          <w:rFonts w:ascii="Times New Roman" w:eastAsia="Times New Roman" w:hAnsi="Times New Roman" w:cs="Times New Roman"/>
          <w:szCs w:val="24"/>
          <w:lang w:eastAsia="pl-PL"/>
        </w:rPr>
        <w:br/>
      </w: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szCs w:val="24"/>
        </w:rPr>
        <w:lastRenderedPageBreak/>
        <w:t>Zgodnie z ustawą o kosztach sądowych w sprawach cywilnych, k</w:t>
      </w:r>
      <w:r w:rsidRPr="003F2E18">
        <w:rPr>
          <w:rFonts w:ascii="Times New Roman" w:eastAsia="Times New Roman" w:hAnsi="Times New Roman" w:cs="Times New Roman"/>
          <w:szCs w:val="24"/>
          <w:lang w:eastAsia="pl-PL"/>
        </w:rPr>
        <w:t>ońcówkę opłaty zaokrągla się:</w:t>
      </w:r>
    </w:p>
    <w:p w:rsidR="00E215C0" w:rsidRDefault="005F0C99" w:rsidP="000F17D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Times New Roman" w:hAnsi="Times New Roman" w:cs="Times New Roman"/>
          <w:szCs w:val="24"/>
          <w:lang w:eastAsia="pl-PL"/>
        </w:rPr>
        <w:t>w dół do pełnego złotego;</w:t>
      </w:r>
    </w:p>
    <w:p w:rsidR="00E215C0" w:rsidRDefault="005F0C99" w:rsidP="000F17D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w górę do pełnego złotego;</w:t>
      </w:r>
    </w:p>
    <w:p w:rsidR="005F0C99" w:rsidRPr="00E215C0" w:rsidRDefault="005F0C99" w:rsidP="000F17D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w dół do dziesięciu groszy.</w:t>
      </w:r>
    </w:p>
    <w:p w:rsidR="00E215C0" w:rsidRPr="00E215C0" w:rsidRDefault="00E215C0" w:rsidP="00E215C0">
      <w:pPr>
        <w:pStyle w:val="Akapitzlist"/>
        <w:spacing w:after="0"/>
        <w:ind w:left="1800"/>
        <w:jc w:val="both"/>
        <w:rPr>
          <w:rFonts w:ascii="Times New Roman" w:hAnsi="Times New Roman" w:cs="Times New Roman"/>
          <w:bCs/>
          <w:szCs w:val="24"/>
        </w:rPr>
      </w:pPr>
    </w:p>
    <w:p w:rsidR="00E215C0" w:rsidRDefault="00AD2A66" w:rsidP="000F17DF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Zgodnie z przepisami Kodeksu postępowania cywilnego, jeżeli powód cofnął pozew ze</w:t>
      </w:r>
      <w:r w:rsidR="00E215C0">
        <w:rPr>
          <w:rFonts w:ascii="Times New Roman" w:eastAsia="Times New Roman" w:hAnsi="Times New Roman" w:cs="Times New Roman"/>
          <w:szCs w:val="24"/>
          <w:lang w:eastAsia="pl-PL"/>
        </w:rPr>
        <w:t xml:space="preserve"> skutkiem prawnym, sąd:</w:t>
      </w:r>
    </w:p>
    <w:p w:rsidR="00E215C0" w:rsidRDefault="00E215C0" w:rsidP="000F17DF">
      <w:pPr>
        <w:pStyle w:val="Akapitzlist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odrzuci pozew;</w:t>
      </w:r>
    </w:p>
    <w:p w:rsidR="00E215C0" w:rsidRDefault="00AD2A66" w:rsidP="000F17DF">
      <w:pPr>
        <w:pStyle w:val="Akapitzlist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oddali powództwo;</w:t>
      </w:r>
    </w:p>
    <w:p w:rsidR="00AD2A66" w:rsidRPr="00E215C0" w:rsidRDefault="00AD2A66" w:rsidP="000F17DF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szCs w:val="24"/>
        </w:rPr>
      </w:pPr>
      <w:r w:rsidRPr="00E215C0">
        <w:rPr>
          <w:rFonts w:ascii="Times New Roman" w:eastAsia="Times New Roman" w:hAnsi="Times New Roman" w:cs="Times New Roman"/>
          <w:szCs w:val="24"/>
          <w:lang w:eastAsia="pl-PL"/>
        </w:rPr>
        <w:t>umorzy postępowanie.</w:t>
      </w:r>
      <w:r w:rsidRPr="00E215C0">
        <w:rPr>
          <w:rFonts w:ascii="Times New Roman" w:eastAsia="Times New Roman" w:hAnsi="Times New Roman" w:cs="Times New Roman"/>
          <w:szCs w:val="24"/>
          <w:lang w:eastAsia="pl-PL"/>
        </w:rPr>
        <w:br/>
      </w:r>
    </w:p>
    <w:p w:rsidR="00AD2A66" w:rsidRPr="003F2E18" w:rsidRDefault="00AD2A66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Zgodnie z kodeksem postępowania cywilnego brakiem formalnym pozwu nie jest:</w:t>
      </w:r>
    </w:p>
    <w:p w:rsidR="00E215C0" w:rsidRDefault="00AD2A66" w:rsidP="000F17DF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brak oznaczenia daty wymagalności roszczenia w sprawach o zasądzenie roszczenia;</w:t>
      </w:r>
    </w:p>
    <w:p w:rsidR="00E215C0" w:rsidRDefault="00AD2A66" w:rsidP="000F17DF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E215C0">
        <w:rPr>
          <w:rFonts w:ascii="Times New Roman" w:hAnsi="Times New Roman" w:cs="Times New Roman"/>
          <w:szCs w:val="24"/>
        </w:rPr>
        <w:t>brak informacji, czy strony podjęły próbę mediacji;</w:t>
      </w:r>
    </w:p>
    <w:p w:rsidR="00AD2A66" w:rsidRPr="00E215C0" w:rsidRDefault="00AD2A66" w:rsidP="000F17DF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E215C0">
        <w:rPr>
          <w:rFonts w:ascii="Times New Roman" w:hAnsi="Times New Roman" w:cs="Times New Roman"/>
          <w:szCs w:val="24"/>
        </w:rPr>
        <w:t>brak numeru PESEL pozwanego.</w:t>
      </w: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Wniosek o uzasadnienie wyroku składa się w terminie:</w:t>
      </w:r>
    </w:p>
    <w:p w:rsidR="005F0C99" w:rsidRPr="003F2E18" w:rsidRDefault="005F0C99" w:rsidP="000F17DF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14 dni od ogłoszenia wyroku;</w:t>
      </w:r>
    </w:p>
    <w:p w:rsidR="005F0C99" w:rsidRPr="003F2E18" w:rsidRDefault="005F0C99" w:rsidP="000F17DF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7 dni od ogłoszenia sentencji lub od dnia doręczenia sentencji wyroku;</w:t>
      </w:r>
    </w:p>
    <w:p w:rsidR="005F0C99" w:rsidRPr="003F2E18" w:rsidRDefault="005F0C99" w:rsidP="000F17DF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7 dni od wydania wyroku.</w:t>
      </w:r>
    </w:p>
    <w:p w:rsidR="00AD2A66" w:rsidRPr="003F2E18" w:rsidRDefault="00AD2A66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AD2A66" w:rsidRPr="003F2E18" w:rsidRDefault="00AD2A66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 xml:space="preserve">Zgodnie z kodeksem postępowania cywilnego </w:t>
      </w:r>
      <w:r w:rsidRPr="003F2E18">
        <w:rPr>
          <w:rFonts w:ascii="Times New Roman" w:eastAsia="Times New Roman" w:hAnsi="Times New Roman" w:cs="Times New Roman"/>
          <w:bCs/>
          <w:szCs w:val="24"/>
          <w:lang w:eastAsia="pl-PL"/>
        </w:rPr>
        <w:t>sąd umarza postępowanie zawieszone z przyczyn wskazanych w art. 177 § 1 pkt 5 i 6, jeżeli wniosek o podjęcie postępowania nie został zgłoszony w ciągu:</w:t>
      </w:r>
    </w:p>
    <w:p w:rsidR="000F17DF" w:rsidRDefault="00AD2A66" w:rsidP="000F17DF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trzech miesięcy od daty postanowienia o zawieszeniu postępowania;</w:t>
      </w:r>
    </w:p>
    <w:p w:rsidR="000F17DF" w:rsidRDefault="00AD2A66" w:rsidP="000F17DF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0F17DF"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sześciu miesięcy od daty postanowienia o zawieszeniu postępowania;</w:t>
      </w:r>
    </w:p>
    <w:p w:rsidR="00AD2A66" w:rsidRPr="000F17DF" w:rsidRDefault="00AD2A66" w:rsidP="000F17DF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0F17DF"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roku od daty postanowienia o zawieszeniu postępowania.</w:t>
      </w:r>
    </w:p>
    <w:p w:rsidR="00AD2A66" w:rsidRPr="003F2E18" w:rsidRDefault="00AD2A66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AD2A66" w:rsidRPr="003F2E18" w:rsidRDefault="00AD2A66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AD2A66" w:rsidRPr="003F2E18" w:rsidRDefault="00AD2A66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Zgodnie z kodeksem postępowania cywilnego asystent sędziego:</w:t>
      </w:r>
    </w:p>
    <w:p w:rsidR="00AD2A66" w:rsidRPr="003F2E18" w:rsidRDefault="00AD2A66" w:rsidP="000F17DF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może wydawać zarządzenia, z wyjątkiem zarządzenia o zwrocie pozwu;</w:t>
      </w:r>
    </w:p>
    <w:p w:rsidR="00AD2A66" w:rsidRPr="003F2E18" w:rsidRDefault="00AD2A66" w:rsidP="000F17DF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może wydawać zarządzenia, z wyjątkiem zarządzenia o zwrocie pisma procesowego, w tym pozwu;</w:t>
      </w:r>
    </w:p>
    <w:p w:rsidR="00AD2A66" w:rsidRPr="003F2E18" w:rsidRDefault="00AD2A66" w:rsidP="000F17DF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nie ma uprawnień do wydawania zarządzeń.</w:t>
      </w:r>
    </w:p>
    <w:p w:rsidR="00AD2A66" w:rsidRPr="003F2E18" w:rsidRDefault="00AD2A66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Pozew może być cofnięty:</w:t>
      </w:r>
    </w:p>
    <w:p w:rsidR="005F0C99" w:rsidRPr="003F2E18" w:rsidRDefault="005F0C99" w:rsidP="000F17DF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bez zezwolenia pozwanego aż do rozpoczęcia rozprawy;</w:t>
      </w:r>
    </w:p>
    <w:p w:rsidR="005F0C99" w:rsidRPr="003F2E18" w:rsidRDefault="005F0C99" w:rsidP="000F17DF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bez zezwolenia pozwanego do czasu doręczenia mu pozwu;</w:t>
      </w:r>
    </w:p>
    <w:p w:rsidR="005F0C99" w:rsidRPr="003F2E18" w:rsidRDefault="005F0C99" w:rsidP="000F17DF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za zezwoleniem pozwanego aż do rozpoczęcia rozprawy.</w:t>
      </w:r>
    </w:p>
    <w:p w:rsidR="00AD2A66" w:rsidRPr="003F2E18" w:rsidRDefault="00AD2A66" w:rsidP="0014407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A66" w:rsidRPr="003F2E18" w:rsidRDefault="00AD2A66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Zgodnie z Kodeksem postępowania cywilnego, interwencję uboczną można zgłosić:</w:t>
      </w:r>
    </w:p>
    <w:p w:rsidR="00AD2A66" w:rsidRPr="003F2E18" w:rsidRDefault="00AD2A66" w:rsidP="000F17DF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tylko do chwili rozpoczęcia pierwszego posiedzenia wyznaczonego na rozprawy przed sądem pierwszej instancji;</w:t>
      </w:r>
    </w:p>
    <w:p w:rsidR="00AD2A66" w:rsidRPr="003F2E18" w:rsidRDefault="00AD2A66" w:rsidP="000F17DF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tylko do chwili zamknięcia rozprawy w pierwszej instancji;</w:t>
      </w:r>
    </w:p>
    <w:p w:rsidR="00AD2A66" w:rsidRPr="003F2E18" w:rsidRDefault="00AD2A66" w:rsidP="000F17DF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w każdym stanie sprawy do chwili zamknięcia rozprawy w drugiej instancji.</w:t>
      </w:r>
    </w:p>
    <w:p w:rsidR="00AD2A66" w:rsidRPr="003F2E18" w:rsidRDefault="00AD2A66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lastRenderedPageBreak/>
        <w:t>Sąd nadaje rygor natychmiastowej wykonalności:</w:t>
      </w:r>
    </w:p>
    <w:p w:rsidR="005F0C99" w:rsidRPr="003F2E18" w:rsidRDefault="005F0C99" w:rsidP="000F17DF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uwzględniającemu powództwo wyrokowi zaocznemu;</w:t>
      </w:r>
    </w:p>
    <w:p w:rsidR="005F0C99" w:rsidRPr="003F2E18" w:rsidRDefault="005F0C99" w:rsidP="000F17DF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nakazowi zapłaty w postępowaniu uproszczonym;</w:t>
      </w:r>
    </w:p>
    <w:p w:rsidR="005F0C99" w:rsidRPr="003F2E18" w:rsidRDefault="005F0C99" w:rsidP="000F17DF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nakazowi zapłaty w postępowaniu upominawczym.</w:t>
      </w:r>
    </w:p>
    <w:p w:rsidR="005F0C99" w:rsidRPr="003F2E18" w:rsidRDefault="005F0C99" w:rsidP="00853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szCs w:val="24"/>
        </w:rPr>
        <w:t xml:space="preserve">Zgodnie z </w:t>
      </w:r>
      <w:r w:rsidRPr="003F2E18">
        <w:rPr>
          <w:rFonts w:ascii="Times New Roman" w:hAnsi="Times New Roman" w:cs="Times New Roman"/>
          <w:bCs/>
          <w:szCs w:val="24"/>
        </w:rPr>
        <w:t>Kodeksem cywilnym,</w:t>
      </w:r>
      <w:r w:rsidRPr="003F2E18">
        <w:rPr>
          <w:rFonts w:ascii="Times New Roman" w:hAnsi="Times New Roman" w:cs="Times New Roman"/>
          <w:szCs w:val="24"/>
        </w:rPr>
        <w:t xml:space="preserve"> </w:t>
      </w:r>
      <w:r w:rsidRPr="003F2E18">
        <w:rPr>
          <w:rFonts w:ascii="Times New Roman" w:hAnsi="Times New Roman" w:cs="Times New Roman"/>
          <w:bCs/>
          <w:szCs w:val="24"/>
        </w:rPr>
        <w:t>ogłoszenia, reklamy, cenniki i inne informacje, skierowane do ogółu lub do poszczególnych osób, poczytuje się w razie wątpliwości:</w:t>
      </w:r>
    </w:p>
    <w:p w:rsidR="005F0C99" w:rsidRPr="003F2E18" w:rsidRDefault="005F0C99" w:rsidP="000F17DF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za ofertę w każdej sytuacji;</w:t>
      </w:r>
    </w:p>
    <w:p w:rsidR="005F0C99" w:rsidRPr="003F2E18" w:rsidRDefault="005F0C99" w:rsidP="000F17DF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nie za ofertę, lecz za zaproszenie do zawarcia umowy;</w:t>
      </w:r>
    </w:p>
    <w:p w:rsidR="005F0C99" w:rsidRPr="003F2E18" w:rsidRDefault="005F0C99" w:rsidP="000F17DF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za ofertę, chyba że zostały skierowane do przedsiębiorców.</w:t>
      </w:r>
    </w:p>
    <w:p w:rsidR="005F0C99" w:rsidRPr="003F2E18" w:rsidRDefault="005F0C99" w:rsidP="0014407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Cofnięcie sprzeciwu od nakazu zapłaty w postępowaniu upominawczym jest:</w:t>
      </w:r>
    </w:p>
    <w:p w:rsidR="005F0C99" w:rsidRPr="003F2E18" w:rsidRDefault="005F0C99" w:rsidP="000F17D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szCs w:val="24"/>
        </w:rPr>
        <w:t>dopuszczalne do chwili wydania wyroku;</w:t>
      </w:r>
    </w:p>
    <w:p w:rsidR="005F0C99" w:rsidRPr="003F2E18" w:rsidRDefault="005F0C99" w:rsidP="000F17D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niedopuszczalne;</w:t>
      </w:r>
    </w:p>
    <w:p w:rsidR="005F0C99" w:rsidRPr="003F2E18" w:rsidRDefault="005F0C99" w:rsidP="000F17D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szCs w:val="24"/>
        </w:rPr>
        <w:t>dopuszczalne tylko pod warunkiem zrzeczenia się zarzutów.</w:t>
      </w:r>
    </w:p>
    <w:p w:rsidR="005F0C99" w:rsidRPr="003F2E18" w:rsidRDefault="005F0C99" w:rsidP="0014407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Aptos" w:hAnsi="Times New Roman" w:cs="Times New Roman"/>
          <w:bCs/>
          <w:szCs w:val="24"/>
        </w:rPr>
        <w:t>Zgodnie z przepisami kodeksu postępowania cywilnego na koszty procesu składają się:</w:t>
      </w:r>
    </w:p>
    <w:p w:rsidR="005F0C99" w:rsidRPr="003F2E18" w:rsidRDefault="005F0C99" w:rsidP="000F17D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Aptos" w:hAnsi="Times New Roman" w:cs="Times New Roman"/>
          <w:bCs/>
          <w:szCs w:val="24"/>
        </w:rPr>
        <w:t>tylko koszty zastępstwa procesowego i opłaty od pozwu;</w:t>
      </w:r>
    </w:p>
    <w:p w:rsidR="005F0C99" w:rsidRPr="003F2E18" w:rsidRDefault="005F0C99" w:rsidP="000F17D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eastAsia="Aptos" w:hAnsi="Times New Roman" w:cs="Times New Roman"/>
          <w:bCs/>
          <w:szCs w:val="24"/>
        </w:rPr>
        <w:t>wszystkie koszty jakie ponosiła strona w toku postępowania;</w:t>
      </w:r>
    </w:p>
    <w:p w:rsidR="005F0C99" w:rsidRPr="003F2E18" w:rsidRDefault="005F0C99" w:rsidP="000F17D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eastAsia="Aptos" w:hAnsi="Times New Roman" w:cs="Times New Roman"/>
          <w:szCs w:val="24"/>
        </w:rPr>
        <w:t>koszty niezbędne do celowego dochodzenia praw i celowej obrony.</w:t>
      </w:r>
    </w:p>
    <w:p w:rsidR="005F0C99" w:rsidRPr="003F2E18" w:rsidRDefault="005F0C99" w:rsidP="00144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0C99" w:rsidRPr="003F2E18" w:rsidRDefault="005F0C99" w:rsidP="000F17D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3F2E18">
        <w:rPr>
          <w:rFonts w:ascii="Times New Roman" w:hAnsi="Times New Roman" w:cs="Times New Roman"/>
          <w:bCs/>
          <w:szCs w:val="24"/>
        </w:rPr>
        <w:t>Jeżeli koniec terminu do usunięcia braków formalnych pozwu przypada na sobotę 21 września 2024 roku, ostatnim dniem, w którym powód może usunąć braki pozwu jest:</w:t>
      </w:r>
    </w:p>
    <w:p w:rsidR="005F0C99" w:rsidRPr="003F2E18" w:rsidRDefault="005F0C99" w:rsidP="000F17DF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sobota 21 września 2024 r.;</w:t>
      </w:r>
    </w:p>
    <w:p w:rsidR="005F0C99" w:rsidRPr="003F2E18" w:rsidRDefault="005F0C99" w:rsidP="000F17DF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niedziela 22 września 2024 r.,</w:t>
      </w:r>
    </w:p>
    <w:p w:rsidR="005F0C99" w:rsidRPr="003F2E18" w:rsidRDefault="005F0C99" w:rsidP="000F17DF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3F2E18">
        <w:rPr>
          <w:rFonts w:ascii="Times New Roman" w:hAnsi="Times New Roman" w:cs="Times New Roman"/>
          <w:szCs w:val="24"/>
        </w:rPr>
        <w:t>poniedziałek 23 września 2024 r.</w:t>
      </w: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Pr="003F2E18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5F0C99" w:rsidRDefault="005F0C99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F17DF" w:rsidRPr="003F2E18" w:rsidRDefault="000F17DF" w:rsidP="0085369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092152" w:rsidRPr="003F2E18" w:rsidRDefault="00092152" w:rsidP="008536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A66" w:rsidRPr="003F2E18" w:rsidRDefault="00AD2A66" w:rsidP="00853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A66" w:rsidRPr="003F2E18" w:rsidRDefault="00AD2A66" w:rsidP="00853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2A66" w:rsidRPr="003F2E18" w:rsidRDefault="00AD2A66" w:rsidP="00853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2A66" w:rsidRPr="003F2E18" w:rsidRDefault="00AD2A66" w:rsidP="00853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2A66" w:rsidRPr="003F2E18" w:rsidRDefault="00AD2A66" w:rsidP="00853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2A66" w:rsidRPr="003F2E18" w:rsidRDefault="00AD2A66" w:rsidP="00853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633" w:rsidRPr="003F2E18" w:rsidRDefault="00130633" w:rsidP="00853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0633" w:rsidRPr="003F2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3B40"/>
    <w:multiLevelType w:val="hybridMultilevel"/>
    <w:tmpl w:val="E3F25D9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456180"/>
    <w:multiLevelType w:val="hybridMultilevel"/>
    <w:tmpl w:val="E8BAA84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F428BE"/>
    <w:multiLevelType w:val="hybridMultilevel"/>
    <w:tmpl w:val="B842295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104695"/>
    <w:multiLevelType w:val="hybridMultilevel"/>
    <w:tmpl w:val="EF08A2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25667A"/>
    <w:multiLevelType w:val="hybridMultilevel"/>
    <w:tmpl w:val="3AE853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6C740E"/>
    <w:multiLevelType w:val="hybridMultilevel"/>
    <w:tmpl w:val="CC4E675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BE2733"/>
    <w:multiLevelType w:val="hybridMultilevel"/>
    <w:tmpl w:val="2012BF1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956BAD"/>
    <w:multiLevelType w:val="hybridMultilevel"/>
    <w:tmpl w:val="7166CD0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A9D2B83"/>
    <w:multiLevelType w:val="hybridMultilevel"/>
    <w:tmpl w:val="0A9A0E28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5530C13"/>
    <w:multiLevelType w:val="hybridMultilevel"/>
    <w:tmpl w:val="BF0254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647722"/>
    <w:multiLevelType w:val="hybridMultilevel"/>
    <w:tmpl w:val="679AEB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BB0850"/>
    <w:multiLevelType w:val="hybridMultilevel"/>
    <w:tmpl w:val="239436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70A96"/>
    <w:multiLevelType w:val="hybridMultilevel"/>
    <w:tmpl w:val="AEA2115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BB8268B"/>
    <w:multiLevelType w:val="hybridMultilevel"/>
    <w:tmpl w:val="B9F44FA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FAC2FBE"/>
    <w:multiLevelType w:val="hybridMultilevel"/>
    <w:tmpl w:val="53E87FE0"/>
    <w:lvl w:ilvl="0" w:tplc="04150017">
      <w:start w:val="1"/>
      <w:numFmt w:val="lowerLetter"/>
      <w:lvlText w:val="%1)"/>
      <w:lvlJc w:val="left"/>
      <w:pPr>
        <w:ind w:left="1635" w:hanging="360"/>
      </w:pPr>
    </w:lvl>
    <w:lvl w:ilvl="1" w:tplc="04150019" w:tentative="1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5" w15:restartNumberingAfterBreak="0">
    <w:nsid w:val="56F8317F"/>
    <w:multiLevelType w:val="hybridMultilevel"/>
    <w:tmpl w:val="DCD204BE"/>
    <w:lvl w:ilvl="0" w:tplc="FA54125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F12313"/>
    <w:multiLevelType w:val="hybridMultilevel"/>
    <w:tmpl w:val="45288CB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0D72C35"/>
    <w:multiLevelType w:val="hybridMultilevel"/>
    <w:tmpl w:val="37785CF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A2B0888"/>
    <w:multiLevelType w:val="hybridMultilevel"/>
    <w:tmpl w:val="F8F8E2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11"/>
  </w:num>
  <w:num w:numId="3">
    <w:abstractNumId w:val="4"/>
  </w:num>
  <w:num w:numId="4">
    <w:abstractNumId w:val="10"/>
  </w:num>
  <w:num w:numId="5">
    <w:abstractNumId w:val="18"/>
  </w:num>
  <w:num w:numId="6">
    <w:abstractNumId w:val="3"/>
  </w:num>
  <w:num w:numId="7">
    <w:abstractNumId w:val="17"/>
  </w:num>
  <w:num w:numId="8">
    <w:abstractNumId w:val="9"/>
  </w:num>
  <w:num w:numId="9">
    <w:abstractNumId w:val="8"/>
  </w:num>
  <w:num w:numId="10">
    <w:abstractNumId w:val="14"/>
  </w:num>
  <w:num w:numId="11">
    <w:abstractNumId w:val="6"/>
  </w:num>
  <w:num w:numId="12">
    <w:abstractNumId w:val="0"/>
  </w:num>
  <w:num w:numId="13">
    <w:abstractNumId w:val="2"/>
  </w:num>
  <w:num w:numId="14">
    <w:abstractNumId w:val="7"/>
  </w:num>
  <w:num w:numId="15">
    <w:abstractNumId w:val="12"/>
  </w:num>
  <w:num w:numId="16">
    <w:abstractNumId w:val="5"/>
  </w:num>
  <w:num w:numId="17">
    <w:abstractNumId w:val="16"/>
  </w:num>
  <w:num w:numId="18">
    <w:abstractNumId w:val="1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A66"/>
    <w:rsid w:val="00092152"/>
    <w:rsid w:val="000F17DF"/>
    <w:rsid w:val="00130633"/>
    <w:rsid w:val="00144079"/>
    <w:rsid w:val="003F2E18"/>
    <w:rsid w:val="004D22C1"/>
    <w:rsid w:val="004E173F"/>
    <w:rsid w:val="00505C0A"/>
    <w:rsid w:val="005B2D34"/>
    <w:rsid w:val="005F0C99"/>
    <w:rsid w:val="0071626B"/>
    <w:rsid w:val="0076676C"/>
    <w:rsid w:val="007776D3"/>
    <w:rsid w:val="00853690"/>
    <w:rsid w:val="00AD2A66"/>
    <w:rsid w:val="00B31D15"/>
    <w:rsid w:val="00B34074"/>
    <w:rsid w:val="00B836EA"/>
    <w:rsid w:val="00C21081"/>
    <w:rsid w:val="00CE2D2D"/>
    <w:rsid w:val="00CF7437"/>
    <w:rsid w:val="00DD77A8"/>
    <w:rsid w:val="00E215C0"/>
    <w:rsid w:val="00F875B6"/>
    <w:rsid w:val="00FD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21252"/>
  <w15:chartTrackingRefBased/>
  <w15:docId w15:val="{0D0D47B3-24AC-4637-AE7A-2CE6D23F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2A66"/>
    <w:pPr>
      <w:spacing w:after="120" w:line="240" w:lineRule="auto"/>
      <w:ind w:left="720"/>
      <w:contextualSpacing/>
    </w:pPr>
    <w:rPr>
      <w:rFonts w:ascii="Garamond" w:hAnsi="Garamond"/>
      <w:kern w:val="2"/>
      <w:sz w:val="24"/>
      <w14:ligatures w14:val="standardContextual"/>
    </w:rPr>
  </w:style>
  <w:style w:type="paragraph" w:customStyle="1" w:styleId="msonormalcxspdrugie">
    <w:name w:val="msonormalcxspdrugie"/>
    <w:basedOn w:val="Normalny"/>
    <w:rsid w:val="00AD2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C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w Lesznie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Hałka Marcin</dc:creator>
  <cp:keywords/>
  <dc:description/>
  <cp:lastModifiedBy>Waligóra Lucyna</cp:lastModifiedBy>
  <cp:revision>2</cp:revision>
  <cp:lastPrinted>2024-12-06T12:40:00Z</cp:lastPrinted>
  <dcterms:created xsi:type="dcterms:W3CDTF">2024-12-06T12:41:00Z</dcterms:created>
  <dcterms:modified xsi:type="dcterms:W3CDTF">2024-12-06T12:41:00Z</dcterms:modified>
</cp:coreProperties>
</file>