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84" w:rsidRDefault="00F6295D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24 stycznia</w:t>
      </w:r>
      <w:bookmarkStart w:id="0" w:name="_GoBack"/>
      <w:bookmarkEnd w:id="0"/>
      <w:r w:rsidR="00410A3E">
        <w:rPr>
          <w:rFonts w:eastAsia="Times New Roman" w:cs="Times New Roman"/>
          <w:szCs w:val="24"/>
          <w:lang w:eastAsia="pl-PL"/>
        </w:rPr>
        <w:t xml:space="preserve"> 2024r.</w:t>
      </w:r>
    </w:p>
    <w:p w:rsidR="00452C45" w:rsidRDefault="00452C45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</w:p>
    <w:p w:rsidR="00203084" w:rsidRDefault="00203084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KONKURS NA ST</w:t>
      </w:r>
      <w:r w:rsidR="00410A3E">
        <w:rPr>
          <w:rFonts w:cs="Times New Roman"/>
          <w:b/>
          <w:szCs w:val="24"/>
        </w:rPr>
        <w:t>ANOWISKO ASYSTENTA SĘDZIEGO NR 3</w:t>
      </w:r>
      <w:r w:rsidRPr="007956D0">
        <w:rPr>
          <w:rFonts w:cs="Times New Roman"/>
          <w:b/>
          <w:szCs w:val="24"/>
        </w:rPr>
        <w:t>/2023</w:t>
      </w: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II ETAP KONKURSU</w:t>
      </w:r>
    </w:p>
    <w:p w:rsidR="00203084" w:rsidRDefault="00203084" w:rsidP="00203084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203084" w:rsidRDefault="00203084" w:rsidP="0020308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r w:rsidRPr="00203084">
        <w:rPr>
          <w:rFonts w:eastAsia="Times New Roman" w:cs="Times New Roman"/>
          <w:b/>
          <w:szCs w:val="24"/>
          <w:lang w:eastAsia="pl-PL"/>
        </w:rPr>
        <w:t>TEST -</w:t>
      </w:r>
      <w:r w:rsidR="003E0E1F">
        <w:rPr>
          <w:rFonts w:eastAsia="Times New Roman" w:cs="Times New Roman"/>
          <w:b/>
          <w:bCs/>
          <w:szCs w:val="24"/>
          <w:lang w:eastAsia="pl-PL"/>
        </w:rPr>
        <w:t xml:space="preserve"> blok cywilny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203084" w:rsidRDefault="00203084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58700A" w:rsidRDefault="0058700A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58700A" w:rsidRPr="0058700A" w:rsidRDefault="0058700A" w:rsidP="0058700A">
      <w:pPr>
        <w:spacing w:after="0" w:line="276" w:lineRule="auto"/>
        <w:rPr>
          <w:rFonts w:cs="Times New Roman"/>
          <w:b/>
          <w:szCs w:val="24"/>
        </w:rPr>
      </w:pPr>
      <w:r w:rsidRPr="0058700A">
        <w:rPr>
          <w:b/>
        </w:rPr>
        <w:t>Imię i nazwisko kandydata - ............................................................................</w:t>
      </w:r>
      <w:r>
        <w:rPr>
          <w:b/>
        </w:rPr>
        <w:t>.........................</w:t>
      </w:r>
    </w:p>
    <w:p w:rsidR="00B92489" w:rsidRDefault="00B92489" w:rsidP="007956D0">
      <w:pPr>
        <w:spacing w:after="0" w:line="276" w:lineRule="auto"/>
        <w:jc w:val="both"/>
        <w:rPr>
          <w:rFonts w:cs="Times New Roman"/>
          <w:b/>
          <w:szCs w:val="24"/>
        </w:rPr>
      </w:pPr>
    </w:p>
    <w:p w:rsidR="003E0E1F" w:rsidRDefault="003E0E1F" w:rsidP="007956D0">
      <w:pPr>
        <w:spacing w:after="0" w:line="276" w:lineRule="auto"/>
        <w:jc w:val="both"/>
        <w:rPr>
          <w:rFonts w:cs="Times New Roman"/>
          <w:b/>
          <w:bCs/>
          <w:szCs w:val="24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1.</w:t>
      </w:r>
      <w:r w:rsidRPr="00452C45">
        <w:rPr>
          <w:rFonts w:asciiTheme="minorHAnsi" w:hAnsiTheme="minorHAnsi"/>
          <w:b/>
          <w:sz w:val="22"/>
        </w:rPr>
        <w:t>Posiadacz ruchomości niebędący jej właścicielem nabywa własność, jeżeli posiada ruchomość nieprzerwanie, jako samoistny posiadacz, przy złej wierze: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po upływie 3 lat;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po upływie 10 lat;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nigdy nie nabywa prawa własności. </w:t>
      </w:r>
    </w:p>
    <w:p w:rsidR="00452C45" w:rsidRPr="00452C45" w:rsidRDefault="00452C45" w:rsidP="00452C45">
      <w:pPr>
        <w:jc w:val="both"/>
        <w:rPr>
          <w:rFonts w:asciiTheme="minorHAnsi" w:hAnsiTheme="minorHAnsi"/>
          <w:b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2. Zgodnie z kodeksem cywilnym termin przedawnienia: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może być przedłużony wyłącznie w umowie zawartej z konsumentem,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może być dowolnie skracany lub przedłużany przez czynność prawną,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nie może zostać skrócony ani przedłużany przez czynność prawną.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3. Prokurentem może być: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osoba prawna;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osoba fizyczna posiadająca co najmniej ograniczoną zdolność</w:t>
      </w:r>
      <w:r>
        <w:rPr>
          <w:rFonts w:asciiTheme="minorHAnsi" w:hAnsiTheme="minorHAnsi"/>
          <w:sz w:val="22"/>
        </w:rPr>
        <w:t xml:space="preserve"> </w:t>
      </w:r>
      <w:r w:rsidR="00EF1525">
        <w:rPr>
          <w:rFonts w:asciiTheme="minorHAnsi" w:hAnsiTheme="minorHAnsi"/>
          <w:sz w:val="22"/>
        </w:rPr>
        <w:t>do czynności prawnych,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osoba fizyczna posiadająca pełną zdolność do czynności</w:t>
      </w:r>
      <w:r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 xml:space="preserve">prawnych.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4. Zgodnie z kodeksem cywilnym roszczenie o zniesienie współwłasności rzeczy: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przedawnia się po upływie 6 lat w każdym przypadku,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przedawnia się jedynie, gdy przedmiotem współwłasności jest ruchomość,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nie ulega przedawnieniu. 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2E44AF" w:rsidRPr="00452C45" w:rsidRDefault="002E44AF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lastRenderedPageBreak/>
        <w:t>5. Zgodnie z kodeksem cywilnym można żądać zwrotu nienależnego świadczenia: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w każdym wypadku, gdy spełniający świadczenie wiedział, że nie był do</w:t>
      </w:r>
      <w:r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świadczenia zobowiązany,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gdy spełnienie świadczenia nastąpiło z zastrzeżeniem zwrotu albo w celu</w:t>
      </w:r>
      <w:r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uniknięcia przymusu lub w wykonaniu nieważnej czynności prawnej,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jeżeli zostało spełnione w celu zadośćuczynienia przedawnionemu roszczeniu.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EF152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EF1525">
        <w:rPr>
          <w:rFonts w:asciiTheme="minorHAnsi" w:hAnsiTheme="minorHAnsi"/>
          <w:b/>
          <w:sz w:val="22"/>
        </w:rPr>
        <w:t>6. Zażalenie – według Kodeksu postępowania cywilnego – nie przysługuje na postanowienie sądu pierwszej instancji,</w:t>
      </w:r>
      <w:r w:rsidR="00EF1525">
        <w:rPr>
          <w:rFonts w:asciiTheme="minorHAnsi" w:hAnsiTheme="minorHAnsi"/>
          <w:b/>
          <w:sz w:val="22"/>
        </w:rPr>
        <w:t xml:space="preserve"> </w:t>
      </w:r>
      <w:r w:rsidRPr="00EF1525">
        <w:rPr>
          <w:rFonts w:asciiTheme="minorHAnsi" w:hAnsiTheme="minorHAnsi"/>
          <w:b/>
          <w:sz w:val="22"/>
        </w:rPr>
        <w:t>którego przedmiotem jest: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a. przekazanie sprawy sądowi wyższemu; 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przekazanie sprawy sądowi równorzędnemu;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przekazanie sprawy sądowi niższemu.</w:t>
      </w:r>
    </w:p>
    <w:p w:rsidR="002E44AF" w:rsidRDefault="002E44AF" w:rsidP="00452C45">
      <w:pPr>
        <w:jc w:val="both"/>
        <w:rPr>
          <w:rFonts w:asciiTheme="minorHAnsi" w:hAnsiTheme="minorHAnsi"/>
          <w:b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7. Zgodnie z kodeksem cywilnym umowa pożyczki: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wymaga zachowania formy dokumentowej, jeżeli jej wartość przekracza tysiąc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 xml:space="preserve">złotych,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dla swej ważności wymaga zachowania formy pisemnej niezależnie od wartości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umowy,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dla swej ważności wymaga zachowania formy pisemnej, jeżeli jej wartość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przekracza tysiąc złotych.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8. Zgodnie z kodeksem postępowania cywilnego sąd w postępowaniu cywilnym związany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jest: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ustaleniami każdego prawomocnego wyroku wydanego w postępowaniu karnym,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ustaleniami wydanego w postępowaniu karnym prawomocnego wyroku</w:t>
      </w:r>
      <w:r w:rsidR="00EF1525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 xml:space="preserve">skazującego co do popełnienia przestępstwa –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żadna odpowiedź nie jest prawidłowa.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9. Zgodnie z kodeksem postępowania cywilnego od kwoty zasądzonej tytułem zwrotu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kosztów procesu: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odsetki nie należą się,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należą się odsetki w wysokości maksymalnych odsetek za opóźnienie w spełnieniu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świadczenia pieniężnego,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należą się odsetki w wysokości odsetek ustawowych za opóźnienie w spełnieniu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świadczenia pieniężnego.</w:t>
      </w:r>
      <w:r w:rsidR="002E44AF">
        <w:rPr>
          <w:rFonts w:asciiTheme="minorHAnsi" w:hAnsiTheme="minorHAnsi"/>
          <w:sz w:val="22"/>
        </w:rPr>
        <w:t xml:space="preserve"> 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EF1525" w:rsidRDefault="00EF1525" w:rsidP="00452C45">
      <w:pPr>
        <w:jc w:val="both"/>
        <w:rPr>
          <w:rFonts w:asciiTheme="minorHAnsi" w:hAnsiTheme="minorHAnsi"/>
          <w:sz w:val="22"/>
        </w:rPr>
      </w:pPr>
    </w:p>
    <w:p w:rsidR="002E44AF" w:rsidRPr="00452C45" w:rsidRDefault="002E44AF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lastRenderedPageBreak/>
        <w:t>10. Od postanowienia sądu pierwszej instancji, którego przedmiotem jest oddalenie wniosku</w:t>
      </w:r>
      <w:r w:rsidR="00EF1525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o wyłączenie sędziego przysługuje: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zażalenie do sądu drugiej instancji,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b. zażalenie do innego składu sądu pierwszej instancji,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zażalenie do innego składu sądu drugiej instancji.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11. Zgodnie z kodeksem postępowania cywilnego pozew może być cofnięty bez zezwolenia</w:t>
      </w:r>
      <w:r w:rsidR="00EF1525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pozwanego: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jedynie przed doręczeniem mu odpisu pozwu,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aż do rozpoczęcia rozprawy, a jeżeli z cofnięciem połączone jest zrzeczenie się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 xml:space="preserve">roszczenia - aż do wydania wyroku,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w każdym czasie.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12. Termin zaskarżenia nakazu zapłaty w postępowaniu nakazowym, który podlega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doręczeniu w Polsce wynosi: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dwa tygodnie,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b. miesiąc,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trzy miesiące.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13. Zgodnie z kodeksem postępowania cywilnego w razie śmierci strony: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postępowanie umarza się z mocy prawa,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sąd może zawiesić postępowanie na wniosek strony przeciwnej,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sąd z urzędu zawiesza postępowanie </w:t>
      </w:r>
      <w:r w:rsidR="00EF1525">
        <w:rPr>
          <w:rFonts w:asciiTheme="minorHAnsi" w:hAnsiTheme="minorHAnsi"/>
          <w:sz w:val="22"/>
        </w:rPr>
        <w:t>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14. Do właściwości sądów okręgowych należą sprawy o prawa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majątkowe, których wartość przedmiotu sporu przewyższa: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50 000 zł;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75 000 zł;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100 000 zł. 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Pr="00452C45" w:rsidRDefault="002E44AF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lastRenderedPageBreak/>
        <w:t>15. Według Kodeksu postępowania cywilnego, spóźniony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wniosek o przywrócenie terminu prawa procesowego sąd:</w:t>
      </w:r>
    </w:p>
    <w:p w:rsidR="00452C45" w:rsidRPr="00452C45" w:rsidRDefault="00EF1525" w:rsidP="00452C4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a. oddala,</w:t>
      </w:r>
    </w:p>
    <w:p w:rsidR="00452C45" w:rsidRPr="00452C45" w:rsidRDefault="00EF1525" w:rsidP="00452C4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b. zwraca,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 xml:space="preserve">c. odrzuca.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16. Powódka będąca spółką z ograniczoną odpowiedzialnością, której siedziba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znajduje się w Lesznie wniosła do Sądu Rejonowego w Lesznie pozew o zapłatę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3.000zł ceny za rzeczy sprzedane i dostarczone pozwanemu do Poznania.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Pozwany jest osobą fizyczną i w Poznaniu prowadzi działalności gospodarczą a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umowę zawarł w ramach tej działalności. W uzasadnieniu pozwu powódka podała, że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Sąd Rejonowy w Lesznie jest właściwy w sprawie, ponieważ powódka ma rachunek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w oznaczonym oddziale banku znajdującym się w Lesznie.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Sąd Rejonowy w Lesznie: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a. powinien rozpoznać sprawę jako właściwy miejscowo,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powinien przekazać sprawę z urzędu do Sądu Rejonowego Poznań – Stare Miasto w Poznaniu</w:t>
      </w:r>
      <w:r w:rsidR="00EF1525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 xml:space="preserve">jako właściwego miejscowo,  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powinien przystąpić do rozpoznania sprawy i przekazać sprawę do Sądu</w:t>
      </w:r>
      <w:r w:rsidR="002E44AF">
        <w:rPr>
          <w:rFonts w:asciiTheme="minorHAnsi" w:hAnsiTheme="minorHAnsi"/>
          <w:sz w:val="22"/>
        </w:rPr>
        <w:t xml:space="preserve"> </w:t>
      </w:r>
      <w:r w:rsidRPr="00452C45">
        <w:rPr>
          <w:rFonts w:asciiTheme="minorHAnsi" w:hAnsiTheme="minorHAnsi"/>
          <w:sz w:val="22"/>
        </w:rPr>
        <w:t>Rejonowego Poznań – Stare Miasto w Poznaniu jako właściwego miejscowo, jeżeli pozwany podniesie zarzut niewłaściwości Sądu Rejonowego w Toruniu.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17. Pozwany złożył wniosek o doręczenie wyroku z uzasadnieniem po dwóch tygodniach</w:t>
      </w:r>
      <w:r w:rsidR="002E44AF" w:rsidRPr="002E44AF">
        <w:rPr>
          <w:rFonts w:asciiTheme="minorHAnsi" w:hAnsiTheme="minorHAnsi"/>
          <w:b/>
          <w:sz w:val="22"/>
        </w:rPr>
        <w:t xml:space="preserve"> </w:t>
      </w:r>
      <w:r w:rsidRPr="00452C45">
        <w:rPr>
          <w:rFonts w:asciiTheme="minorHAnsi" w:hAnsiTheme="minorHAnsi"/>
          <w:b/>
          <w:sz w:val="22"/>
        </w:rPr>
        <w:t>od ogłoszenia wyroku. Sąd wniosek ten:</w:t>
      </w:r>
    </w:p>
    <w:p w:rsidR="00452C45" w:rsidRPr="00452C45" w:rsidRDefault="00EF1525" w:rsidP="00452C4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a. zwróci,</w:t>
      </w:r>
    </w:p>
    <w:p w:rsidR="00452C45" w:rsidRPr="00452C45" w:rsidRDefault="00EF1525" w:rsidP="00452C4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b. oddali,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odrzuci.</w:t>
      </w:r>
    </w:p>
    <w:p w:rsidR="002E44AF" w:rsidRPr="00452C45" w:rsidRDefault="002E44AF" w:rsidP="00452C45">
      <w:pPr>
        <w:jc w:val="both"/>
        <w:rPr>
          <w:rFonts w:asciiTheme="minorHAnsi" w:hAnsiTheme="minorHAnsi"/>
          <w:sz w:val="22"/>
        </w:rPr>
      </w:pPr>
    </w:p>
    <w:p w:rsidR="00452C45" w:rsidRPr="00452C45" w:rsidRDefault="00452C45" w:rsidP="00452C45">
      <w:pPr>
        <w:jc w:val="both"/>
        <w:rPr>
          <w:rFonts w:asciiTheme="minorHAnsi" w:hAnsiTheme="minorHAnsi"/>
          <w:b/>
          <w:sz w:val="22"/>
        </w:rPr>
      </w:pPr>
      <w:r w:rsidRPr="00452C45">
        <w:rPr>
          <w:rFonts w:asciiTheme="minorHAnsi" w:hAnsiTheme="minorHAnsi"/>
          <w:b/>
          <w:sz w:val="22"/>
        </w:rPr>
        <w:t>18. W razie cofnięcia pozwu przez powoda:</w:t>
      </w:r>
    </w:p>
    <w:p w:rsidR="00452C45" w:rsidRPr="00452C45" w:rsidRDefault="00EF1525" w:rsidP="00452C4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a. sąd zawiesza postępowanie,</w:t>
      </w:r>
    </w:p>
    <w:p w:rsidR="00452C45" w:rsidRP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b. sąd umorzy postępowanie, jeżeli powód c</w:t>
      </w:r>
      <w:r w:rsidR="00EF1525">
        <w:rPr>
          <w:rFonts w:asciiTheme="minorHAnsi" w:hAnsiTheme="minorHAnsi"/>
          <w:sz w:val="22"/>
        </w:rPr>
        <w:t>ofnął pozew ze skutkiem prawnym,</w:t>
      </w:r>
    </w:p>
    <w:p w:rsidR="00452C45" w:rsidRDefault="00452C45" w:rsidP="00452C45">
      <w:pPr>
        <w:jc w:val="both"/>
        <w:rPr>
          <w:rFonts w:asciiTheme="minorHAnsi" w:hAnsiTheme="minorHAnsi"/>
          <w:sz w:val="22"/>
        </w:rPr>
      </w:pPr>
      <w:r w:rsidRPr="00452C45">
        <w:rPr>
          <w:rFonts w:asciiTheme="minorHAnsi" w:hAnsiTheme="minorHAnsi"/>
          <w:sz w:val="22"/>
        </w:rPr>
        <w:t>c. sąd oddali powództwo, jeżeli powód cofnął pozew ze skutkiem prawnym.</w:t>
      </w: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Default="002E44AF" w:rsidP="00452C45">
      <w:pPr>
        <w:jc w:val="both"/>
        <w:rPr>
          <w:rFonts w:asciiTheme="minorHAnsi" w:hAnsiTheme="minorHAnsi"/>
          <w:sz w:val="22"/>
        </w:rPr>
      </w:pPr>
    </w:p>
    <w:p w:rsidR="002E44AF" w:rsidRPr="00452C45" w:rsidRDefault="002E44AF" w:rsidP="00452C45">
      <w:pPr>
        <w:jc w:val="both"/>
        <w:rPr>
          <w:rFonts w:asciiTheme="minorHAnsi" w:hAnsiTheme="minorHAnsi"/>
          <w:sz w:val="22"/>
        </w:rPr>
      </w:pPr>
    </w:p>
    <w:p w:rsidR="00410A3E" w:rsidRDefault="00410A3E" w:rsidP="007956D0">
      <w:pPr>
        <w:spacing w:after="0" w:line="276" w:lineRule="auto"/>
        <w:jc w:val="both"/>
      </w:pPr>
    </w:p>
    <w:sectPr w:rsidR="00410A3E" w:rsidSect="002E44AF">
      <w:foot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B77" w:rsidRDefault="00A55B77">
      <w:pPr>
        <w:spacing w:after="0" w:line="240" w:lineRule="auto"/>
      </w:pPr>
      <w:r>
        <w:separator/>
      </w:r>
    </w:p>
  </w:endnote>
  <w:endnote w:type="continuationSeparator" w:id="0">
    <w:p w:rsidR="00A55B77" w:rsidRDefault="00A55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815673"/>
      <w:docPartObj>
        <w:docPartGallery w:val="Page Numbers (Bottom of Page)"/>
        <w:docPartUnique/>
      </w:docPartObj>
    </w:sdtPr>
    <w:sdtEndPr/>
    <w:sdtContent>
      <w:p w:rsidR="0056798F" w:rsidRDefault="00411D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95D">
          <w:rPr>
            <w:noProof/>
          </w:rPr>
          <w:t>4</w:t>
        </w:r>
        <w:r>
          <w:fldChar w:fldCharType="end"/>
        </w:r>
      </w:p>
    </w:sdtContent>
  </w:sdt>
  <w:p w:rsidR="0056798F" w:rsidRDefault="00A55B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B77" w:rsidRDefault="00A55B77">
      <w:pPr>
        <w:spacing w:after="0" w:line="240" w:lineRule="auto"/>
      </w:pPr>
      <w:r>
        <w:separator/>
      </w:r>
    </w:p>
  </w:footnote>
  <w:footnote w:type="continuationSeparator" w:id="0">
    <w:p w:rsidR="00A55B77" w:rsidRDefault="00A55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B63"/>
    <w:multiLevelType w:val="hybridMultilevel"/>
    <w:tmpl w:val="93D0FC56"/>
    <w:lvl w:ilvl="0" w:tplc="15D02734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4A625E0"/>
    <w:multiLevelType w:val="hybridMultilevel"/>
    <w:tmpl w:val="6C8E108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835A60"/>
    <w:multiLevelType w:val="hybridMultilevel"/>
    <w:tmpl w:val="C26E9590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04B6532"/>
    <w:multiLevelType w:val="hybridMultilevel"/>
    <w:tmpl w:val="30D6E380"/>
    <w:lvl w:ilvl="0" w:tplc="BA2E2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5D0273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41656"/>
    <w:multiLevelType w:val="hybridMultilevel"/>
    <w:tmpl w:val="2DF2F30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CF85A6B"/>
    <w:multiLevelType w:val="hybridMultilevel"/>
    <w:tmpl w:val="EA00BC4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AD1944"/>
    <w:multiLevelType w:val="hybridMultilevel"/>
    <w:tmpl w:val="FB94041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3BE0F64"/>
    <w:multiLevelType w:val="hybridMultilevel"/>
    <w:tmpl w:val="8B9EA0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D0"/>
    <w:rsid w:val="001E451F"/>
    <w:rsid w:val="00203084"/>
    <w:rsid w:val="002E44AF"/>
    <w:rsid w:val="003E0E1F"/>
    <w:rsid w:val="00407214"/>
    <w:rsid w:val="00410A3E"/>
    <w:rsid w:val="00411D94"/>
    <w:rsid w:val="00452C45"/>
    <w:rsid w:val="004F756A"/>
    <w:rsid w:val="0052198F"/>
    <w:rsid w:val="00542653"/>
    <w:rsid w:val="00585C1D"/>
    <w:rsid w:val="0058700A"/>
    <w:rsid w:val="007956D0"/>
    <w:rsid w:val="007E4CA8"/>
    <w:rsid w:val="009970F8"/>
    <w:rsid w:val="009C7626"/>
    <w:rsid w:val="00A55B77"/>
    <w:rsid w:val="00A8375F"/>
    <w:rsid w:val="00B92489"/>
    <w:rsid w:val="00B94D10"/>
    <w:rsid w:val="00E119D1"/>
    <w:rsid w:val="00EF1525"/>
    <w:rsid w:val="00F6295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190F"/>
  <w15:chartTrackingRefBased/>
  <w15:docId w15:val="{91185FCB-1000-4BB0-9B5A-4B744CC5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7956D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7956D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7956D0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A837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5</cp:revision>
  <cp:lastPrinted>2024-01-23T08:09:00Z</cp:lastPrinted>
  <dcterms:created xsi:type="dcterms:W3CDTF">2024-01-23T07:20:00Z</dcterms:created>
  <dcterms:modified xsi:type="dcterms:W3CDTF">2024-03-14T08:23:00Z</dcterms:modified>
</cp:coreProperties>
</file>