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56A" w:rsidRDefault="004F756A" w:rsidP="00203084">
      <w:pPr>
        <w:spacing w:after="0" w:line="240" w:lineRule="auto"/>
        <w:ind w:left="5664" w:right="-828" w:firstLine="708"/>
        <w:rPr>
          <w:rFonts w:eastAsia="Times New Roman" w:cs="Times New Roman"/>
          <w:szCs w:val="24"/>
          <w:lang w:eastAsia="pl-PL"/>
        </w:rPr>
      </w:pPr>
    </w:p>
    <w:p w:rsidR="00203084" w:rsidRDefault="00203084" w:rsidP="00203084">
      <w:pPr>
        <w:spacing w:after="0" w:line="240" w:lineRule="auto"/>
        <w:ind w:left="5664" w:right="-828" w:firstLine="708"/>
        <w:rPr>
          <w:rFonts w:eastAsia="Times New Roman" w:cs="Times New Roman"/>
          <w:szCs w:val="24"/>
          <w:lang w:eastAsia="pl-PL"/>
        </w:rPr>
      </w:pPr>
      <w:r>
        <w:rPr>
          <w:rFonts w:eastAsia="Times New Roman" w:cs="Times New Roman"/>
          <w:szCs w:val="24"/>
          <w:lang w:eastAsia="pl-PL"/>
        </w:rPr>
        <w:t>Leszno, dnia 24 marca 2023r.</w:t>
      </w:r>
    </w:p>
    <w:p w:rsidR="00203084" w:rsidRDefault="00203084" w:rsidP="00203084">
      <w:pPr>
        <w:spacing w:after="0" w:line="240" w:lineRule="auto"/>
        <w:ind w:left="5664" w:right="-828" w:firstLine="708"/>
        <w:rPr>
          <w:rFonts w:eastAsia="Times New Roman" w:cs="Times New Roman"/>
          <w:szCs w:val="24"/>
          <w:lang w:eastAsia="pl-PL"/>
        </w:rPr>
      </w:pPr>
      <w:r>
        <w:rPr>
          <w:rFonts w:eastAsia="Times New Roman" w:cs="Times New Roman"/>
          <w:szCs w:val="24"/>
          <w:lang w:eastAsia="pl-PL"/>
        </w:rPr>
        <w:t xml:space="preserve"> </w:t>
      </w:r>
    </w:p>
    <w:p w:rsidR="00A8375F" w:rsidRPr="007956D0" w:rsidRDefault="00A8375F" w:rsidP="00A8375F">
      <w:pPr>
        <w:spacing w:after="0" w:line="276" w:lineRule="auto"/>
        <w:jc w:val="center"/>
        <w:rPr>
          <w:rFonts w:cs="Times New Roman"/>
          <w:b/>
          <w:szCs w:val="24"/>
        </w:rPr>
      </w:pPr>
      <w:r w:rsidRPr="007956D0">
        <w:rPr>
          <w:rFonts w:cs="Times New Roman"/>
          <w:b/>
          <w:szCs w:val="24"/>
        </w:rPr>
        <w:t>KONKURS NA STANOWISKO ASYSTENTA SĘDZIEGO NR 1/2023</w:t>
      </w:r>
    </w:p>
    <w:p w:rsidR="00A8375F" w:rsidRPr="007956D0" w:rsidRDefault="00A8375F" w:rsidP="00A8375F">
      <w:pPr>
        <w:spacing w:after="0" w:line="276" w:lineRule="auto"/>
        <w:jc w:val="center"/>
        <w:rPr>
          <w:rFonts w:cs="Times New Roman"/>
          <w:b/>
          <w:szCs w:val="24"/>
        </w:rPr>
      </w:pPr>
      <w:r w:rsidRPr="007956D0">
        <w:rPr>
          <w:rFonts w:cs="Times New Roman"/>
          <w:b/>
          <w:szCs w:val="24"/>
        </w:rPr>
        <w:t>II ETAP KONKURSU</w:t>
      </w:r>
    </w:p>
    <w:p w:rsidR="00203084" w:rsidRDefault="00203084" w:rsidP="00203084">
      <w:pPr>
        <w:spacing w:after="0" w:line="240" w:lineRule="auto"/>
        <w:ind w:right="-828"/>
        <w:jc w:val="center"/>
        <w:rPr>
          <w:rFonts w:eastAsia="Times New Roman" w:cs="Times New Roman"/>
          <w:szCs w:val="24"/>
          <w:lang w:eastAsia="pl-PL"/>
        </w:rPr>
      </w:pPr>
    </w:p>
    <w:p w:rsidR="00203084" w:rsidRDefault="00203084" w:rsidP="00203084">
      <w:pPr>
        <w:tabs>
          <w:tab w:val="left" w:pos="8100"/>
        </w:tabs>
        <w:autoSpaceDE w:val="0"/>
        <w:autoSpaceDN w:val="0"/>
        <w:adjustRightInd w:val="0"/>
        <w:spacing w:after="0" w:line="360" w:lineRule="auto"/>
        <w:jc w:val="center"/>
        <w:rPr>
          <w:rFonts w:eastAsia="Times New Roman" w:cs="Times New Roman"/>
          <w:b/>
          <w:bCs/>
          <w:szCs w:val="24"/>
          <w:lang w:eastAsia="pl-PL"/>
        </w:rPr>
      </w:pPr>
      <w:r w:rsidRPr="00203084">
        <w:rPr>
          <w:rFonts w:eastAsia="Times New Roman" w:cs="Times New Roman"/>
          <w:b/>
          <w:szCs w:val="24"/>
          <w:lang w:eastAsia="pl-PL"/>
        </w:rPr>
        <w:t>TEST -</w:t>
      </w:r>
      <w:r w:rsidR="003E0E1F">
        <w:rPr>
          <w:rFonts w:eastAsia="Times New Roman" w:cs="Times New Roman"/>
          <w:b/>
          <w:bCs/>
          <w:szCs w:val="24"/>
          <w:lang w:eastAsia="pl-PL"/>
        </w:rPr>
        <w:t xml:space="preserve"> blok cywilny</w:t>
      </w:r>
    </w:p>
    <w:p w:rsidR="00A8375F" w:rsidRDefault="00A8375F" w:rsidP="00A8375F">
      <w:pPr>
        <w:autoSpaceDE w:val="0"/>
        <w:autoSpaceDN w:val="0"/>
        <w:adjustRightInd w:val="0"/>
        <w:spacing w:after="0" w:line="240" w:lineRule="auto"/>
        <w:jc w:val="center"/>
        <w:rPr>
          <w:rFonts w:eastAsia="Times New Roman" w:cs="Times New Roman"/>
          <w:i/>
          <w:iCs/>
          <w:szCs w:val="24"/>
          <w:lang w:eastAsia="pl-PL"/>
        </w:rPr>
      </w:pPr>
      <w:r>
        <w:rPr>
          <w:rFonts w:eastAsia="Times New Roman" w:cs="Times New Roman"/>
          <w:i/>
          <w:iCs/>
          <w:szCs w:val="24"/>
          <w:lang w:eastAsia="pl-PL"/>
        </w:rPr>
        <w:t>Test jednokrotnego wyboru. Odpowiedź właściwą należy wskazać przez zakreślenie znakiem „X” oznaczenia literowego. Za każde prawidłowe rozwiązanie zadania testowego</w:t>
      </w:r>
    </w:p>
    <w:p w:rsidR="00A8375F" w:rsidRDefault="00A8375F" w:rsidP="00A8375F">
      <w:pPr>
        <w:autoSpaceDE w:val="0"/>
        <w:autoSpaceDN w:val="0"/>
        <w:adjustRightInd w:val="0"/>
        <w:spacing w:after="0" w:line="240" w:lineRule="auto"/>
        <w:jc w:val="center"/>
        <w:rPr>
          <w:rFonts w:eastAsia="Times New Roman" w:cs="Times New Roman"/>
          <w:i/>
          <w:iCs/>
          <w:szCs w:val="24"/>
          <w:lang w:eastAsia="pl-PL"/>
        </w:rPr>
      </w:pPr>
      <w:r>
        <w:rPr>
          <w:rFonts w:eastAsia="Times New Roman" w:cs="Times New Roman"/>
          <w:i/>
          <w:iCs/>
          <w:szCs w:val="24"/>
          <w:lang w:eastAsia="pl-PL"/>
        </w:rPr>
        <w:t>komisja przyznaje 1 punkt. W przypadku dokonania przez kandydata zmian zakreślonych</w:t>
      </w:r>
    </w:p>
    <w:p w:rsidR="00A8375F" w:rsidRDefault="00A8375F" w:rsidP="00A8375F">
      <w:pPr>
        <w:autoSpaceDE w:val="0"/>
        <w:autoSpaceDN w:val="0"/>
        <w:adjustRightInd w:val="0"/>
        <w:spacing w:after="0" w:line="240" w:lineRule="auto"/>
        <w:jc w:val="center"/>
        <w:rPr>
          <w:rFonts w:eastAsia="Times New Roman" w:cs="Times New Roman"/>
          <w:i/>
          <w:iCs/>
          <w:szCs w:val="24"/>
          <w:lang w:eastAsia="pl-PL"/>
        </w:rPr>
      </w:pPr>
      <w:r>
        <w:rPr>
          <w:rFonts w:eastAsia="Times New Roman" w:cs="Times New Roman"/>
          <w:i/>
          <w:iCs/>
          <w:szCs w:val="24"/>
          <w:lang w:eastAsia="pl-PL"/>
        </w:rPr>
        <w:t>odpowiedzi za dane zadanie testowe komisja przyznaje 0 punktów.</w:t>
      </w:r>
    </w:p>
    <w:p w:rsidR="00203084" w:rsidRDefault="00203084" w:rsidP="007956D0">
      <w:pPr>
        <w:spacing w:after="0" w:line="276" w:lineRule="auto"/>
        <w:jc w:val="both"/>
        <w:rPr>
          <w:rFonts w:cs="Times New Roman"/>
          <w:szCs w:val="24"/>
        </w:rPr>
      </w:pPr>
    </w:p>
    <w:p w:rsidR="0058700A" w:rsidRDefault="0058700A" w:rsidP="007956D0">
      <w:pPr>
        <w:spacing w:after="0" w:line="276" w:lineRule="auto"/>
        <w:jc w:val="both"/>
        <w:rPr>
          <w:rFonts w:cs="Times New Roman"/>
          <w:szCs w:val="24"/>
        </w:rPr>
      </w:pPr>
    </w:p>
    <w:p w:rsidR="0058700A" w:rsidRPr="0058700A" w:rsidRDefault="0058700A" w:rsidP="0058700A">
      <w:pPr>
        <w:spacing w:after="0" w:line="276" w:lineRule="auto"/>
        <w:rPr>
          <w:rFonts w:cs="Times New Roman"/>
          <w:b/>
          <w:szCs w:val="24"/>
        </w:rPr>
      </w:pPr>
      <w:r w:rsidRPr="0058700A">
        <w:rPr>
          <w:b/>
        </w:rPr>
        <w:t>Imię i nazwisko kandydata - ..........................................................................</w:t>
      </w:r>
      <w:r w:rsidRPr="0058700A">
        <w:rPr>
          <w:b/>
        </w:rPr>
        <w:t>..</w:t>
      </w:r>
      <w:r>
        <w:rPr>
          <w:b/>
        </w:rPr>
        <w:t>.........................</w:t>
      </w:r>
      <w:bookmarkStart w:id="0" w:name="_GoBack"/>
      <w:bookmarkEnd w:id="0"/>
    </w:p>
    <w:p w:rsidR="00B92489" w:rsidRDefault="00B92489" w:rsidP="007956D0">
      <w:pPr>
        <w:spacing w:after="0" w:line="276" w:lineRule="auto"/>
        <w:jc w:val="both"/>
        <w:rPr>
          <w:rFonts w:cs="Times New Roman"/>
          <w:b/>
          <w:szCs w:val="24"/>
        </w:rPr>
      </w:pPr>
    </w:p>
    <w:p w:rsidR="003E0E1F" w:rsidRPr="003E0E1F" w:rsidRDefault="003E0E1F" w:rsidP="003E0E1F">
      <w:pPr>
        <w:numPr>
          <w:ilvl w:val="0"/>
          <w:numId w:val="1"/>
        </w:numPr>
        <w:spacing w:after="0" w:line="276" w:lineRule="auto"/>
        <w:contextualSpacing/>
        <w:jc w:val="both"/>
        <w:rPr>
          <w:rFonts w:cs="Times New Roman"/>
          <w:b/>
          <w:bCs/>
          <w:szCs w:val="24"/>
        </w:rPr>
      </w:pPr>
      <w:r w:rsidRPr="003E0E1F">
        <w:rPr>
          <w:rFonts w:cs="Times New Roman"/>
          <w:b/>
          <w:bCs/>
          <w:szCs w:val="24"/>
        </w:rPr>
        <w:t xml:space="preserve">Zgodnie z Kodeksem cywilnym, zaginiony może być uznany za zmarłego: </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jeżeli upłynęło lat dziesięć od końca roku kalendarzowego, w którym według istniejących wiadomości jeszcze żył; jednakże gdyby w chwili uznania za zmarłego zaginiony ukończył lat siedemdziesiąt, wystarcza upływ lat pięciu,</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jeżeli upłynęło lat piętnaście od końca roku kalendarzowego, w którym według istniejących wiadomości jeszcze żył; jednakże gdyby w chwili uznania za zmarłego zaginiony ukończył lat siedemdziesiąt, wystarcza upływ lat pięciu,</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jeżeli upłynęło lat dwadzieścia od końca roku kalendarzowego, w którym według istniejących wiadomości jeszcze żył; jednakże gdyby w chwili uznania za zmarłego zaginiony ukończył lat siedemdziesiąt, wystarcza upływ lat pięciu.</w:t>
      </w:r>
    </w:p>
    <w:p w:rsidR="003E0E1F" w:rsidRPr="003E0E1F" w:rsidRDefault="003E0E1F" w:rsidP="003E0E1F">
      <w:pPr>
        <w:spacing w:after="0" w:line="276" w:lineRule="auto"/>
        <w:ind w:left="720"/>
        <w:contextualSpacing/>
        <w:jc w:val="both"/>
        <w:rPr>
          <w:rFonts w:cs="Times New Roman"/>
          <w:szCs w:val="24"/>
        </w:rPr>
      </w:pPr>
      <w:r w:rsidRPr="003E0E1F">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cywilnym, jeżeli koniec terminu do wykonania czynności przypada na dzień uznany ustawowo za wolny od pracy lub na sobotę:</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termin upływa następnego dnia,</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termin upływa następnego dnia, który nie jest dniem wolnym od pracy,</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termin upływa następnego dnia, który nie jest dniem wolnym od pracy ani sobotą.</w:t>
      </w:r>
    </w:p>
    <w:p w:rsidR="003E0E1F" w:rsidRPr="003E0E1F" w:rsidRDefault="003E0E1F" w:rsidP="003E0E1F">
      <w:pPr>
        <w:spacing w:after="0" w:line="276" w:lineRule="auto"/>
        <w:ind w:left="720"/>
        <w:contextualSpacing/>
        <w:jc w:val="both"/>
        <w:rPr>
          <w:rFonts w:cs="Times New Roman"/>
          <w:szCs w:val="24"/>
        </w:rPr>
      </w:pPr>
      <w:r w:rsidRPr="003E0E1F">
        <w:rPr>
          <w:rFonts w:cs="Times New Roman"/>
          <w:szCs w:val="24"/>
        </w:rPr>
        <w:t xml:space="preserve"> </w:t>
      </w:r>
    </w:p>
    <w:p w:rsidR="003E0E1F" w:rsidRPr="003E0E1F" w:rsidRDefault="003E0E1F" w:rsidP="003E0E1F">
      <w:pPr>
        <w:numPr>
          <w:ilvl w:val="0"/>
          <w:numId w:val="1"/>
        </w:numPr>
        <w:spacing w:after="0" w:line="276" w:lineRule="auto"/>
        <w:contextualSpacing/>
        <w:jc w:val="both"/>
        <w:rPr>
          <w:rFonts w:cs="Times New Roman"/>
          <w:b/>
          <w:bCs/>
          <w:szCs w:val="24"/>
        </w:rPr>
      </w:pPr>
      <w:r w:rsidRPr="003E0E1F">
        <w:rPr>
          <w:rFonts w:cs="Times New Roman"/>
          <w:b/>
          <w:bCs/>
          <w:szCs w:val="24"/>
        </w:rPr>
        <w:t xml:space="preserve">Zgodnie z Kodeksem cywilnym, jeżeli przepis szczególny nie stanowi inaczej, termin przedawnienia: </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wynosi sześć lat, a dla roszczeń o świadczenia okresowe oraz roszczeń związanych z prowadzeniem działalności gospodarczej - trzy lata,</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wynosi sześć lat, a dla roszczeń o świadczenia okresowe oraz roszczeń związanych z prowadzeniem działalności gospodarczej - dwa lata,</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wynosi dziesięć lat, a dla roszczeń o świadczenia okresowe oraz roszczeń związanych z prowadzeniem działalności gospodarczej - trzy lata.</w:t>
      </w:r>
    </w:p>
    <w:p w:rsidR="003E0E1F" w:rsidRPr="003E0E1F" w:rsidRDefault="003E0E1F" w:rsidP="003E0E1F">
      <w:pPr>
        <w:spacing w:after="0" w:line="276" w:lineRule="auto"/>
        <w:ind w:left="720"/>
        <w:contextualSpacing/>
        <w:jc w:val="both"/>
        <w:rPr>
          <w:rFonts w:cs="Times New Roman"/>
          <w:szCs w:val="24"/>
        </w:rPr>
      </w:pPr>
      <w:r w:rsidRPr="003E0E1F">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 xml:space="preserve">Zgodnie z Kodeksem cywilnym, każdy ze współwłaścicieli może rozporządzać swoim udziałem: </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bez zgody pozostałych współwłaścicieli,</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bez zgody pozostałych współwłaścicieli jedynie w granicach zwykłego zarządu,</w:t>
      </w:r>
    </w:p>
    <w:p w:rsidR="003E0E1F" w:rsidRDefault="003E0E1F" w:rsidP="003E0E1F">
      <w:pPr>
        <w:numPr>
          <w:ilvl w:val="1"/>
          <w:numId w:val="1"/>
        </w:numPr>
        <w:contextualSpacing/>
        <w:jc w:val="both"/>
        <w:rPr>
          <w:rFonts w:cs="Times New Roman"/>
          <w:szCs w:val="24"/>
        </w:rPr>
      </w:pPr>
      <w:r w:rsidRPr="003E0E1F">
        <w:rPr>
          <w:rFonts w:cs="Times New Roman"/>
          <w:szCs w:val="24"/>
        </w:rPr>
        <w:t>za zgodą pozostałych współwłaścicieli.</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lastRenderedPageBreak/>
        <w:t xml:space="preserve">Zgodnie z Kodeksem cywilnym, małoletni, który nie ukończył lat trzynastu: </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 xml:space="preserve">ponosi odpowiedzialność do wysokości posiadanego majątku, </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nie ponosi odpowiedzialności za wyrządzoną szkodę,</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nie ponosi odpowiedzialności za szkodę wyrządzoną osobom najbliższym.</w:t>
      </w:r>
    </w:p>
    <w:p w:rsidR="003E0E1F" w:rsidRPr="003E0E1F" w:rsidRDefault="003E0E1F" w:rsidP="003E0E1F">
      <w:pPr>
        <w:spacing w:after="0" w:line="276" w:lineRule="auto"/>
        <w:jc w:val="both"/>
        <w:rPr>
          <w:rFonts w:cs="Times New Roman"/>
          <w:szCs w:val="24"/>
        </w:rPr>
      </w:pPr>
    </w:p>
    <w:p w:rsidR="003E0E1F" w:rsidRPr="003E0E1F" w:rsidRDefault="003E0E1F" w:rsidP="003E0E1F">
      <w:pPr>
        <w:numPr>
          <w:ilvl w:val="0"/>
          <w:numId w:val="1"/>
        </w:numPr>
        <w:spacing w:after="0" w:line="276" w:lineRule="auto"/>
        <w:contextualSpacing/>
        <w:rPr>
          <w:rFonts w:cs="Times New Roman"/>
          <w:szCs w:val="24"/>
        </w:rPr>
      </w:pPr>
      <w:r w:rsidRPr="003E0E1F">
        <w:rPr>
          <w:rFonts w:cs="Times New Roman"/>
          <w:b/>
          <w:bCs/>
          <w:szCs w:val="24"/>
        </w:rPr>
        <w:t>Zgodnie z Kodeksem cywilnym, spadkobierca nabywa spadek z chwilą:</w:t>
      </w:r>
    </w:p>
    <w:p w:rsidR="003E0E1F" w:rsidRPr="003E0E1F" w:rsidRDefault="003E0E1F" w:rsidP="003E0E1F">
      <w:pPr>
        <w:pStyle w:val="Akapitzlist"/>
        <w:numPr>
          <w:ilvl w:val="0"/>
          <w:numId w:val="4"/>
        </w:numPr>
        <w:spacing w:after="0" w:line="276" w:lineRule="auto"/>
        <w:rPr>
          <w:rFonts w:cs="Times New Roman"/>
          <w:szCs w:val="24"/>
        </w:rPr>
      </w:pPr>
      <w:r w:rsidRPr="003E0E1F">
        <w:rPr>
          <w:rFonts w:cs="Times New Roman"/>
          <w:bCs/>
          <w:szCs w:val="24"/>
        </w:rPr>
        <w:t>uprawomocnienia się orzeczenia o stwierdzeniu nabycia praw do spa</w:t>
      </w:r>
      <w:r>
        <w:rPr>
          <w:rFonts w:cs="Times New Roman"/>
          <w:bCs/>
          <w:szCs w:val="24"/>
        </w:rPr>
        <w:t>dku,</w:t>
      </w:r>
    </w:p>
    <w:p w:rsidR="003E0E1F" w:rsidRPr="003E0E1F" w:rsidRDefault="003E0E1F" w:rsidP="003E0E1F">
      <w:pPr>
        <w:pStyle w:val="Akapitzlist"/>
        <w:numPr>
          <w:ilvl w:val="0"/>
          <w:numId w:val="4"/>
        </w:numPr>
        <w:spacing w:after="0" w:line="276" w:lineRule="auto"/>
        <w:rPr>
          <w:rFonts w:cs="Times New Roman"/>
          <w:szCs w:val="24"/>
        </w:rPr>
      </w:pPr>
      <w:r>
        <w:rPr>
          <w:rFonts w:cs="Times New Roman"/>
          <w:bCs/>
          <w:szCs w:val="24"/>
        </w:rPr>
        <w:t>otwarcia spadku,</w:t>
      </w:r>
    </w:p>
    <w:p w:rsidR="003E0E1F" w:rsidRDefault="003E0E1F" w:rsidP="003E0E1F">
      <w:pPr>
        <w:pStyle w:val="Akapitzlist"/>
        <w:numPr>
          <w:ilvl w:val="0"/>
          <w:numId w:val="4"/>
        </w:numPr>
        <w:spacing w:after="0" w:line="276" w:lineRule="auto"/>
        <w:rPr>
          <w:rFonts w:cs="Times New Roman"/>
          <w:szCs w:val="24"/>
        </w:rPr>
      </w:pPr>
      <w:r w:rsidRPr="003E0E1F">
        <w:rPr>
          <w:rFonts w:cs="Times New Roman"/>
          <w:bCs/>
          <w:szCs w:val="24"/>
        </w:rPr>
        <w:t>złożenia oświadczeń o przyjęciu spadku przez wszystkich spadkobierców albo upływu terminu do ich złożenia</w:t>
      </w:r>
      <w:r>
        <w:rPr>
          <w:rFonts w:cs="Times New Roman"/>
          <w:bCs/>
          <w:szCs w:val="24"/>
        </w:rPr>
        <w:t>.</w:t>
      </w:r>
      <w:r w:rsidRPr="003E0E1F">
        <w:rPr>
          <w:rFonts w:cs="Times New Roman"/>
          <w:szCs w:val="24"/>
        </w:rPr>
        <w:t xml:space="preserve"> </w:t>
      </w:r>
    </w:p>
    <w:p w:rsidR="00E119D1" w:rsidRPr="003E0E1F" w:rsidRDefault="00E119D1" w:rsidP="00E119D1">
      <w:pPr>
        <w:pStyle w:val="Akapitzlist"/>
        <w:spacing w:after="0" w:line="276" w:lineRule="auto"/>
        <w:ind w:left="1440"/>
        <w:rPr>
          <w:rFonts w:cs="Times New Roman"/>
          <w:szCs w:val="24"/>
        </w:rPr>
      </w:pP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cywilnym, umowa pożyczki:</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 xml:space="preserve">nie wymaga zachowania formy dokumentowej, </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wymaga zachowania formy dokumentowej,</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wymaga zachowania formy dokumentowej, jeżeli jej wartość przekracza tysiąc złotych.</w:t>
      </w:r>
    </w:p>
    <w:p w:rsidR="00E119D1" w:rsidRPr="003E0E1F" w:rsidRDefault="003E0E1F" w:rsidP="003E0E1F">
      <w:pPr>
        <w:spacing w:after="0" w:line="276" w:lineRule="auto"/>
        <w:ind w:left="720"/>
        <w:contextualSpacing/>
        <w:jc w:val="both"/>
        <w:rPr>
          <w:rFonts w:cs="Times New Roman"/>
          <w:szCs w:val="24"/>
        </w:rPr>
      </w:pPr>
      <w:r w:rsidRPr="003E0E1F">
        <w:rPr>
          <w:rFonts w:cs="Times New Roman"/>
          <w:szCs w:val="24"/>
        </w:rPr>
        <w:t xml:space="preserve"> </w:t>
      </w:r>
    </w:p>
    <w:p w:rsidR="003E0E1F" w:rsidRPr="003E0E1F" w:rsidRDefault="003E0E1F" w:rsidP="003E0E1F">
      <w:pPr>
        <w:numPr>
          <w:ilvl w:val="0"/>
          <w:numId w:val="1"/>
        </w:numPr>
        <w:spacing w:after="0" w:line="276" w:lineRule="auto"/>
        <w:contextualSpacing/>
        <w:jc w:val="both"/>
        <w:rPr>
          <w:rFonts w:cs="Times New Roman"/>
          <w:b/>
          <w:bCs/>
          <w:szCs w:val="24"/>
        </w:rPr>
      </w:pPr>
      <w:r w:rsidRPr="003E0E1F">
        <w:rPr>
          <w:rFonts w:cs="Times New Roman"/>
          <w:b/>
          <w:bCs/>
          <w:szCs w:val="24"/>
        </w:rPr>
        <w:t>Zgodnie z Kodeksem cywilnym, spadkobierca nie może być uznany przez sąd za niegodnego, jeżeli:</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dopuścił się umyślnie ciężkiego przestępstwa przeciwko spadkodawcy,</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dopuścił się nieumyślnie ciężkiego przestępstwa przeciwko spadkodawcy,</w:t>
      </w:r>
    </w:p>
    <w:p w:rsidR="003E0E1F" w:rsidRPr="003E0E1F" w:rsidRDefault="003E0E1F" w:rsidP="003E0E1F">
      <w:pPr>
        <w:numPr>
          <w:ilvl w:val="1"/>
          <w:numId w:val="1"/>
        </w:numPr>
        <w:spacing w:after="0" w:line="276" w:lineRule="auto"/>
        <w:contextualSpacing/>
        <w:jc w:val="both"/>
        <w:rPr>
          <w:rFonts w:cs="Times New Roman"/>
          <w:szCs w:val="24"/>
        </w:rPr>
      </w:pPr>
      <w:r w:rsidRPr="003E0E1F">
        <w:rPr>
          <w:rFonts w:cs="Times New Roman"/>
          <w:szCs w:val="24"/>
        </w:rPr>
        <w:t xml:space="preserve">umyślnie ukrył lub zniszczył testament spadkodawcy. </w:t>
      </w:r>
    </w:p>
    <w:p w:rsidR="003E0E1F" w:rsidRPr="003E0E1F" w:rsidRDefault="003E0E1F" w:rsidP="003E0E1F">
      <w:pPr>
        <w:spacing w:after="0" w:line="276" w:lineRule="auto"/>
        <w:ind w:left="720"/>
        <w:contextualSpacing/>
        <w:jc w:val="both"/>
        <w:rPr>
          <w:rFonts w:cs="Times New Roman"/>
          <w:szCs w:val="24"/>
        </w:rPr>
      </w:pPr>
      <w:r w:rsidRPr="003E0E1F">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cywilnym, jeżeli wysokość odsetek wynikających z czynności</w:t>
      </w:r>
    </w:p>
    <w:p w:rsidR="003E0E1F" w:rsidRDefault="003E0E1F" w:rsidP="003E0E1F">
      <w:pPr>
        <w:ind w:left="720"/>
        <w:contextualSpacing/>
        <w:jc w:val="both"/>
        <w:rPr>
          <w:rFonts w:cs="Times New Roman"/>
          <w:b/>
          <w:bCs/>
          <w:szCs w:val="24"/>
        </w:rPr>
      </w:pPr>
      <w:r w:rsidRPr="003E0E1F">
        <w:rPr>
          <w:rFonts w:cs="Times New Roman"/>
          <w:b/>
          <w:bCs/>
          <w:szCs w:val="24"/>
        </w:rPr>
        <w:t>prawnej przekracza wysokość odsetek maksymalnych, to:</w:t>
      </w:r>
    </w:p>
    <w:p w:rsidR="003E0E1F" w:rsidRDefault="003E0E1F" w:rsidP="003E0E1F">
      <w:pPr>
        <w:pStyle w:val="Akapitzlist"/>
        <w:numPr>
          <w:ilvl w:val="0"/>
          <w:numId w:val="5"/>
        </w:numPr>
        <w:jc w:val="both"/>
        <w:rPr>
          <w:rFonts w:cs="Times New Roman"/>
          <w:bCs/>
          <w:szCs w:val="24"/>
        </w:rPr>
      </w:pPr>
      <w:r w:rsidRPr="003E0E1F">
        <w:rPr>
          <w:rFonts w:cs="Times New Roman"/>
          <w:bCs/>
          <w:szCs w:val="24"/>
        </w:rPr>
        <w:t>odsetki nie należą się w ogóle</w:t>
      </w:r>
      <w:r>
        <w:rPr>
          <w:rFonts w:cs="Times New Roman"/>
          <w:bCs/>
          <w:szCs w:val="24"/>
        </w:rPr>
        <w:t>,</w:t>
      </w:r>
    </w:p>
    <w:p w:rsidR="003E0E1F" w:rsidRDefault="003E0E1F" w:rsidP="003E0E1F">
      <w:pPr>
        <w:pStyle w:val="Akapitzlist"/>
        <w:numPr>
          <w:ilvl w:val="0"/>
          <w:numId w:val="5"/>
        </w:numPr>
        <w:jc w:val="both"/>
        <w:rPr>
          <w:rFonts w:cs="Times New Roman"/>
          <w:bCs/>
          <w:szCs w:val="24"/>
        </w:rPr>
      </w:pPr>
      <w:r w:rsidRPr="003E0E1F">
        <w:rPr>
          <w:rFonts w:cs="Times New Roman"/>
          <w:bCs/>
          <w:szCs w:val="24"/>
        </w:rPr>
        <w:t>należą się odsetki maksymalne</w:t>
      </w:r>
      <w:r>
        <w:rPr>
          <w:rFonts w:cs="Times New Roman"/>
          <w:bCs/>
          <w:szCs w:val="24"/>
        </w:rPr>
        <w:t>,</w:t>
      </w:r>
    </w:p>
    <w:p w:rsidR="003E0E1F" w:rsidRPr="003E0E1F" w:rsidRDefault="003E0E1F" w:rsidP="003E0E1F">
      <w:pPr>
        <w:pStyle w:val="Akapitzlist"/>
        <w:numPr>
          <w:ilvl w:val="0"/>
          <w:numId w:val="5"/>
        </w:numPr>
        <w:jc w:val="both"/>
        <w:rPr>
          <w:rFonts w:cs="Times New Roman"/>
          <w:bCs/>
          <w:szCs w:val="24"/>
        </w:rPr>
      </w:pPr>
      <w:r w:rsidRPr="003E0E1F">
        <w:rPr>
          <w:rFonts w:cs="Times New Roman"/>
          <w:bCs/>
          <w:szCs w:val="24"/>
        </w:rPr>
        <w:t>należą się odsetki ustawowe</w:t>
      </w:r>
      <w:r>
        <w:rPr>
          <w:rFonts w:cs="Times New Roman"/>
          <w:bCs/>
          <w:szCs w:val="24"/>
        </w:rPr>
        <w:t>.</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w razie cofnięcia pozwu przez powoda ze zrzeczeniem się po rozpoczęciu rozprawy:</w:t>
      </w:r>
    </w:p>
    <w:p w:rsidR="003E0E1F" w:rsidRPr="003E0E1F" w:rsidRDefault="003E0E1F" w:rsidP="003E0E1F">
      <w:pPr>
        <w:pStyle w:val="Akapitzlist"/>
        <w:numPr>
          <w:ilvl w:val="0"/>
          <w:numId w:val="6"/>
        </w:numPr>
        <w:jc w:val="both"/>
        <w:rPr>
          <w:rFonts w:cs="Times New Roman"/>
          <w:bCs/>
          <w:szCs w:val="24"/>
        </w:rPr>
      </w:pPr>
      <w:r w:rsidRPr="003E0E1F">
        <w:rPr>
          <w:rFonts w:cs="Times New Roman"/>
          <w:bCs/>
          <w:szCs w:val="24"/>
        </w:rPr>
        <w:t>przewodniczący zwróci powodowi pozew,</w:t>
      </w:r>
    </w:p>
    <w:p w:rsidR="003E0E1F" w:rsidRPr="003E0E1F" w:rsidRDefault="003E0E1F" w:rsidP="003E0E1F">
      <w:pPr>
        <w:pStyle w:val="Akapitzlist"/>
        <w:numPr>
          <w:ilvl w:val="0"/>
          <w:numId w:val="6"/>
        </w:numPr>
        <w:jc w:val="both"/>
        <w:rPr>
          <w:rFonts w:cs="Times New Roman"/>
          <w:bCs/>
          <w:szCs w:val="24"/>
        </w:rPr>
      </w:pPr>
      <w:r w:rsidRPr="003E0E1F">
        <w:rPr>
          <w:rFonts w:cs="Times New Roman"/>
          <w:bCs/>
          <w:szCs w:val="24"/>
        </w:rPr>
        <w:t>sąd umorzy postępowanie w sprawie po uzyskaniu zezwolenia pozwanego,</w:t>
      </w:r>
    </w:p>
    <w:p w:rsidR="003E0E1F" w:rsidRDefault="003E0E1F" w:rsidP="003E0E1F">
      <w:pPr>
        <w:pStyle w:val="Akapitzlist"/>
        <w:numPr>
          <w:ilvl w:val="0"/>
          <w:numId w:val="6"/>
        </w:numPr>
        <w:jc w:val="both"/>
        <w:rPr>
          <w:rFonts w:cs="Times New Roman"/>
          <w:szCs w:val="24"/>
        </w:rPr>
      </w:pPr>
      <w:r w:rsidRPr="003E0E1F">
        <w:rPr>
          <w:rFonts w:cs="Times New Roman"/>
          <w:bCs/>
          <w:szCs w:val="24"/>
        </w:rPr>
        <w:t>sąd umorzy postępowanie w sprawie bez potrzeby uzyskiwania zezwolenia pozwanego</w:t>
      </w:r>
      <w:r>
        <w:rPr>
          <w:rFonts w:cs="Times New Roman"/>
          <w:bCs/>
          <w:szCs w:val="24"/>
        </w:rPr>
        <w:t>.</w:t>
      </w:r>
      <w:r w:rsidRPr="003E0E1F">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w każdym piśmie należy podać:</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wartość przedmiotu sporu lub wartość przedmiotu zaskarżenia, jeżeli od tej wartości zależy właściwość rzeczowa sądu, wysokość opłaty lub dopuszczalność środka odwoławczego,</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wartość przedmiotu sporu lub wartość przedmiotu zaskarżenia, jeżeli od tej wartości zależy właściwość rzeczowa sądu, wysokość opłaty lub dopuszczalność środka odwoławczego, a przedmiotem sprawy nie jest oznaczona kwota pieniężna</w:t>
      </w:r>
      <w:r>
        <w:rPr>
          <w:rFonts w:cs="Times New Roman"/>
          <w:szCs w:val="24"/>
        </w:rPr>
        <w:t>,</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wartość przedmiotu sporu lub wartość przedmiotu zaskarżenia, jeżeli od tej wartości zależy właściwość rzeczowa sądu, wysokość opłaty lub dopuszczalność środka odwoławczego, a przedmiotem sprawy jest oznaczona kwota pieniężna.</w:t>
      </w:r>
    </w:p>
    <w:p w:rsidR="003E0E1F" w:rsidRPr="003E0E1F" w:rsidRDefault="003E0E1F" w:rsidP="00E119D1">
      <w:pPr>
        <w:ind w:left="720" w:right="-567"/>
        <w:contextualSpacing/>
        <w:jc w:val="both"/>
        <w:rPr>
          <w:rFonts w:cs="Times New Roman"/>
          <w:szCs w:val="24"/>
        </w:rPr>
      </w:pPr>
      <w:r w:rsidRPr="003E0E1F">
        <w:rPr>
          <w:rFonts w:cs="Times New Roman"/>
          <w:szCs w:val="24"/>
        </w:rPr>
        <w:lastRenderedPageBreak/>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jeżeli w sprawie działa kilku pełnomocników jednej strony, sąd doręcza pismo procesowe:</w:t>
      </w:r>
    </w:p>
    <w:p w:rsidR="003E0E1F" w:rsidRDefault="003E0E1F" w:rsidP="003E0E1F">
      <w:pPr>
        <w:pStyle w:val="Akapitzlist"/>
        <w:numPr>
          <w:ilvl w:val="0"/>
          <w:numId w:val="7"/>
        </w:numPr>
        <w:jc w:val="both"/>
        <w:rPr>
          <w:rFonts w:cs="Times New Roman"/>
          <w:bCs/>
          <w:szCs w:val="24"/>
        </w:rPr>
      </w:pPr>
      <w:r w:rsidRPr="003E0E1F">
        <w:rPr>
          <w:rFonts w:cs="Times New Roman"/>
          <w:bCs/>
          <w:szCs w:val="24"/>
        </w:rPr>
        <w:t>wszystkim pełnomocnikom jednocześnie</w:t>
      </w:r>
      <w:r>
        <w:rPr>
          <w:rFonts w:cs="Times New Roman"/>
          <w:bCs/>
          <w:szCs w:val="24"/>
        </w:rPr>
        <w:t>,</w:t>
      </w:r>
    </w:p>
    <w:p w:rsidR="003E0E1F" w:rsidRDefault="003E0E1F" w:rsidP="003E0E1F">
      <w:pPr>
        <w:pStyle w:val="Akapitzlist"/>
        <w:numPr>
          <w:ilvl w:val="0"/>
          <w:numId w:val="7"/>
        </w:numPr>
        <w:jc w:val="both"/>
        <w:rPr>
          <w:rFonts w:cs="Times New Roman"/>
          <w:bCs/>
          <w:szCs w:val="24"/>
        </w:rPr>
      </w:pPr>
      <w:r w:rsidRPr="003E0E1F">
        <w:rPr>
          <w:rFonts w:cs="Times New Roman"/>
          <w:bCs/>
          <w:szCs w:val="24"/>
        </w:rPr>
        <w:t>dowolnemu z nich</w:t>
      </w:r>
      <w:r>
        <w:rPr>
          <w:rFonts w:cs="Times New Roman"/>
          <w:bCs/>
          <w:szCs w:val="24"/>
        </w:rPr>
        <w:t>,</w:t>
      </w:r>
    </w:p>
    <w:p w:rsidR="003E0E1F" w:rsidRPr="003E0E1F" w:rsidRDefault="003E0E1F" w:rsidP="003E0E1F">
      <w:pPr>
        <w:pStyle w:val="Akapitzlist"/>
        <w:numPr>
          <w:ilvl w:val="0"/>
          <w:numId w:val="7"/>
        </w:numPr>
        <w:jc w:val="both"/>
        <w:rPr>
          <w:rFonts w:cs="Times New Roman"/>
          <w:bCs/>
          <w:szCs w:val="24"/>
        </w:rPr>
      </w:pPr>
      <w:r w:rsidRPr="003E0E1F">
        <w:rPr>
          <w:rFonts w:cs="Times New Roman"/>
          <w:bCs/>
          <w:szCs w:val="24"/>
        </w:rPr>
        <w:t>pierwszemu z ustanowionych pełnomocników</w:t>
      </w:r>
      <w:r>
        <w:rPr>
          <w:rFonts w:cs="Times New Roman"/>
          <w:bCs/>
          <w:szCs w:val="24"/>
        </w:rPr>
        <w:t>.</w:t>
      </w:r>
      <w:r w:rsidRPr="003E0E1F">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pełnomocnictwo procesowe obejmuje z samego prawa umocowanie do:</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wszelkich czynności dotyczących zabezpieczenia i egzekucji,</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udzielenia dalszego pełnomocnictwa procesowego adwokatowi lub radcy prawnemu,</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zawarcia ugody, zrzeczenia się roszczenia albo uznania powództwa, nawet jeżeli czynności te zostały wyłączone w danym pełnomocnictwie.</w:t>
      </w:r>
    </w:p>
    <w:p w:rsidR="003E0E1F" w:rsidRPr="003E0E1F" w:rsidRDefault="003E0E1F" w:rsidP="003E0E1F">
      <w:pPr>
        <w:ind w:left="720"/>
        <w:contextualSpacing/>
        <w:jc w:val="both"/>
        <w:rPr>
          <w:rFonts w:cs="Times New Roman"/>
          <w:szCs w:val="24"/>
        </w:rPr>
      </w:pPr>
      <w:r w:rsidRPr="003E0E1F">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pismo wniesione przez adwokata, radcę prawnego lub rzecznika patentowego, które nie zostało należycie opłacone:</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przewodniczący zwraca bez wezwania o uiszczenie opłaty, jeżeli pismo podlega opłacie w wysokości stałej lub stosunkowej obliczonej od wskazanej przez stronę wartości przedmiotu sporu,</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przewodniczący zwraca po bezskutecznym upływie terminu wyznaczonym w wezwaniu o uiszczenie opłaty, jeżeli pismo podlega opłacie w wysokości stałej lub stosunkowej obliczonej od wskazanej przez stronę wartości przedmiotu sporu,</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sąd zwraca bez wezwania o uiszczenie opłaty, jeżeli pismo podlega opłacie w wysokości stałej lub stosunkowej obliczonej od wskazanej przez stronę wartości przedmiotu sporu.</w:t>
      </w:r>
    </w:p>
    <w:p w:rsidR="003E0E1F" w:rsidRPr="003E0E1F" w:rsidRDefault="003E0E1F" w:rsidP="003E0E1F">
      <w:pPr>
        <w:ind w:left="720"/>
        <w:contextualSpacing/>
        <w:jc w:val="both"/>
        <w:rPr>
          <w:rFonts w:cs="Times New Roman"/>
          <w:szCs w:val="24"/>
        </w:rPr>
      </w:pPr>
      <w:r w:rsidRPr="003E0E1F">
        <w:rPr>
          <w:rFonts w:cs="Times New Roman"/>
          <w:szCs w:val="24"/>
        </w:rPr>
        <w:t xml:space="preserve"> </w:t>
      </w:r>
    </w:p>
    <w:p w:rsidR="003E0E1F" w:rsidRPr="003E0E1F" w:rsidRDefault="003E0E1F" w:rsidP="00E119D1">
      <w:pPr>
        <w:numPr>
          <w:ilvl w:val="0"/>
          <w:numId w:val="1"/>
        </w:numPr>
        <w:ind w:right="-284"/>
        <w:contextualSpacing/>
        <w:rPr>
          <w:rFonts w:cs="Times New Roman"/>
          <w:b/>
          <w:bCs/>
          <w:szCs w:val="24"/>
        </w:rPr>
      </w:pPr>
      <w:r w:rsidRPr="003E0E1F">
        <w:rPr>
          <w:rFonts w:cs="Times New Roman"/>
          <w:b/>
          <w:bCs/>
          <w:szCs w:val="24"/>
        </w:rPr>
        <w:t>Skutkiem wniesienia zarzutów od nakazu zapłaty w postępowaniu nakazowym jest:</w:t>
      </w:r>
    </w:p>
    <w:p w:rsidR="003E0E1F" w:rsidRDefault="003E0E1F" w:rsidP="003E0E1F">
      <w:pPr>
        <w:pStyle w:val="Akapitzlist"/>
        <w:numPr>
          <w:ilvl w:val="0"/>
          <w:numId w:val="8"/>
        </w:numPr>
        <w:jc w:val="both"/>
        <w:rPr>
          <w:rFonts w:cs="Times New Roman"/>
          <w:bCs/>
          <w:szCs w:val="24"/>
        </w:rPr>
      </w:pPr>
      <w:r w:rsidRPr="003E0E1F">
        <w:rPr>
          <w:rFonts w:cs="Times New Roman"/>
          <w:bCs/>
          <w:szCs w:val="24"/>
        </w:rPr>
        <w:t>utrata mocy nakazu zapłaty</w:t>
      </w:r>
      <w:r>
        <w:rPr>
          <w:rFonts w:cs="Times New Roman"/>
          <w:bCs/>
          <w:szCs w:val="24"/>
        </w:rPr>
        <w:t>,</w:t>
      </w:r>
    </w:p>
    <w:p w:rsidR="00E119D1" w:rsidRDefault="003E0E1F" w:rsidP="00E119D1">
      <w:pPr>
        <w:pStyle w:val="Akapitzlist"/>
        <w:numPr>
          <w:ilvl w:val="0"/>
          <w:numId w:val="8"/>
        </w:numPr>
        <w:jc w:val="both"/>
        <w:rPr>
          <w:rFonts w:cs="Times New Roman"/>
          <w:bCs/>
          <w:szCs w:val="24"/>
        </w:rPr>
      </w:pPr>
      <w:r w:rsidRPr="003E0E1F">
        <w:rPr>
          <w:rFonts w:cs="Times New Roman"/>
          <w:bCs/>
          <w:szCs w:val="24"/>
        </w:rPr>
        <w:t>oddalenie zarzutów na posiedzeniu niejawnym jeśli są oczywiście nieuzasadnione</w:t>
      </w:r>
      <w:r>
        <w:rPr>
          <w:rFonts w:cs="Times New Roman"/>
          <w:bCs/>
          <w:szCs w:val="24"/>
        </w:rPr>
        <w:t>,</w:t>
      </w:r>
    </w:p>
    <w:p w:rsidR="003E0E1F" w:rsidRPr="00E119D1" w:rsidRDefault="003E0E1F" w:rsidP="00E119D1">
      <w:pPr>
        <w:pStyle w:val="Akapitzlist"/>
        <w:numPr>
          <w:ilvl w:val="0"/>
          <w:numId w:val="8"/>
        </w:numPr>
        <w:jc w:val="both"/>
        <w:rPr>
          <w:rFonts w:cs="Times New Roman"/>
          <w:bCs/>
          <w:szCs w:val="24"/>
        </w:rPr>
      </w:pPr>
      <w:r w:rsidRPr="00E119D1">
        <w:rPr>
          <w:rFonts w:cs="Times New Roman"/>
          <w:bCs/>
          <w:szCs w:val="24"/>
        </w:rPr>
        <w:t>uchylenie nakazu zapłaty w całości lub części w razie uznania zarzutów za uzasadnione</w:t>
      </w:r>
      <w:r w:rsidR="00E119D1">
        <w:rPr>
          <w:rFonts w:cs="Times New Roman"/>
          <w:bCs/>
          <w:szCs w:val="24"/>
        </w:rPr>
        <w:t>.</w:t>
      </w:r>
      <w:r w:rsidRPr="00E119D1">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zażalenie na postanowienie sądu pierwszej instancji, którego przedmiotem jest odmowa zwolnienia od kosztów sądowych lub cofnięcie takiego zwolnienia oraz odmowa ustanowienia adwokata lub radcy prawnego lub ich odwołanie przysługuje do:</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innego składu sądu pierwszej instancji,</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sądu drugiej instancji,</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Sądu Najwyższego.</w:t>
      </w:r>
    </w:p>
    <w:p w:rsidR="003E0E1F" w:rsidRPr="003E0E1F" w:rsidRDefault="003E0E1F" w:rsidP="003E0E1F">
      <w:pPr>
        <w:ind w:left="720"/>
        <w:contextualSpacing/>
        <w:jc w:val="both"/>
        <w:rPr>
          <w:rFonts w:cs="Times New Roman"/>
          <w:szCs w:val="24"/>
        </w:rPr>
      </w:pPr>
      <w:r w:rsidRPr="003E0E1F">
        <w:rPr>
          <w:rFonts w:cs="Times New Roman"/>
          <w:szCs w:val="24"/>
        </w:rPr>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nieważność postępowania nie zachodzi:</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jeżeli droga sądowa była niedopuszczalna,</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w razie przekroczenia przez sąd granic swobodnej oceny dowodów,</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jeżeli sąd rejonowy orzekł w sprawie, w której sąd okręgowy jest właściwy bez względu na wartość przedmiotu sporu.</w:t>
      </w:r>
    </w:p>
    <w:p w:rsidR="003E0E1F" w:rsidRPr="003E0E1F" w:rsidRDefault="003E0E1F" w:rsidP="003E0E1F">
      <w:pPr>
        <w:ind w:left="720"/>
        <w:contextualSpacing/>
        <w:jc w:val="both"/>
        <w:rPr>
          <w:rFonts w:cs="Times New Roman"/>
          <w:szCs w:val="24"/>
        </w:rPr>
      </w:pPr>
      <w:r w:rsidRPr="003E0E1F">
        <w:rPr>
          <w:rFonts w:cs="Times New Roman"/>
          <w:szCs w:val="24"/>
        </w:rPr>
        <w:lastRenderedPageBreak/>
        <w:t xml:space="preserve"> </w:t>
      </w:r>
    </w:p>
    <w:p w:rsidR="003E0E1F" w:rsidRPr="003E0E1F" w:rsidRDefault="003E0E1F" w:rsidP="003E0E1F">
      <w:pPr>
        <w:numPr>
          <w:ilvl w:val="0"/>
          <w:numId w:val="1"/>
        </w:numPr>
        <w:contextualSpacing/>
        <w:jc w:val="both"/>
        <w:rPr>
          <w:rFonts w:cs="Times New Roman"/>
          <w:b/>
          <w:bCs/>
          <w:szCs w:val="24"/>
        </w:rPr>
      </w:pPr>
      <w:r w:rsidRPr="003E0E1F">
        <w:rPr>
          <w:rFonts w:cs="Times New Roman"/>
          <w:b/>
          <w:bCs/>
          <w:szCs w:val="24"/>
        </w:rPr>
        <w:t>Zgodnie z Kodeksem postępowania cywilnego, udzielenia zabezpieczenia może żądać każda strona lub uczestnik postępowania, jeżeli:</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uprawdopodobni roszczenie,</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uprawdopodobni interes prawny w udzieleniu zabezpieczenia,</w:t>
      </w:r>
    </w:p>
    <w:p w:rsidR="003E0E1F" w:rsidRPr="003E0E1F" w:rsidRDefault="003E0E1F" w:rsidP="003E0E1F">
      <w:pPr>
        <w:numPr>
          <w:ilvl w:val="1"/>
          <w:numId w:val="1"/>
        </w:numPr>
        <w:contextualSpacing/>
        <w:jc w:val="both"/>
        <w:rPr>
          <w:rFonts w:cs="Times New Roman"/>
          <w:szCs w:val="24"/>
        </w:rPr>
      </w:pPr>
      <w:r w:rsidRPr="003E0E1F">
        <w:rPr>
          <w:rFonts w:cs="Times New Roman"/>
          <w:szCs w:val="24"/>
        </w:rPr>
        <w:t>uprawdopodobni roszczenie, a sprawa dotyczy alimentów.</w:t>
      </w:r>
    </w:p>
    <w:p w:rsidR="003E0E1F" w:rsidRDefault="003E0E1F" w:rsidP="007956D0">
      <w:pPr>
        <w:spacing w:after="0" w:line="276" w:lineRule="auto"/>
        <w:jc w:val="both"/>
      </w:pPr>
    </w:p>
    <w:sectPr w:rsidR="003E0E1F" w:rsidSect="00E119D1">
      <w:footerReference w:type="default" r:id="rId7"/>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51F" w:rsidRDefault="001E451F">
      <w:pPr>
        <w:spacing w:after="0" w:line="240" w:lineRule="auto"/>
      </w:pPr>
      <w:r>
        <w:separator/>
      </w:r>
    </w:p>
  </w:endnote>
  <w:endnote w:type="continuationSeparator" w:id="0">
    <w:p w:rsidR="001E451F" w:rsidRDefault="001E4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815673"/>
      <w:docPartObj>
        <w:docPartGallery w:val="Page Numbers (Bottom of Page)"/>
        <w:docPartUnique/>
      </w:docPartObj>
    </w:sdtPr>
    <w:sdtEndPr/>
    <w:sdtContent>
      <w:p w:rsidR="0056798F" w:rsidRDefault="00411D94">
        <w:pPr>
          <w:pStyle w:val="Stopka"/>
          <w:jc w:val="center"/>
        </w:pPr>
        <w:r>
          <w:fldChar w:fldCharType="begin"/>
        </w:r>
        <w:r>
          <w:instrText>PAGE   \* MERGEFORMAT</w:instrText>
        </w:r>
        <w:r>
          <w:fldChar w:fldCharType="separate"/>
        </w:r>
        <w:r w:rsidR="0058700A">
          <w:rPr>
            <w:noProof/>
          </w:rPr>
          <w:t>4</w:t>
        </w:r>
        <w:r>
          <w:fldChar w:fldCharType="end"/>
        </w:r>
      </w:p>
    </w:sdtContent>
  </w:sdt>
  <w:p w:rsidR="0056798F" w:rsidRDefault="001E451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51F" w:rsidRDefault="001E451F">
      <w:pPr>
        <w:spacing w:after="0" w:line="240" w:lineRule="auto"/>
      </w:pPr>
      <w:r>
        <w:separator/>
      </w:r>
    </w:p>
  </w:footnote>
  <w:footnote w:type="continuationSeparator" w:id="0">
    <w:p w:rsidR="001E451F" w:rsidRDefault="001E45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B7B63"/>
    <w:multiLevelType w:val="hybridMultilevel"/>
    <w:tmpl w:val="93D0FC56"/>
    <w:lvl w:ilvl="0" w:tplc="15D02734">
      <w:start w:val="1"/>
      <w:numFmt w:val="lowerLetter"/>
      <w:lvlText w:val="%1."/>
      <w:lvlJc w:val="left"/>
      <w:pPr>
        <w:ind w:left="2160" w:hanging="360"/>
      </w:pPr>
      <w:rPr>
        <w:b w:val="0"/>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 w15:restartNumberingAfterBreak="0">
    <w:nsid w:val="24A625E0"/>
    <w:multiLevelType w:val="hybridMultilevel"/>
    <w:tmpl w:val="6C8E108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28835A60"/>
    <w:multiLevelType w:val="hybridMultilevel"/>
    <w:tmpl w:val="C26E9590"/>
    <w:lvl w:ilvl="0" w:tplc="04150019">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 w15:restartNumberingAfterBreak="0">
    <w:nsid w:val="304B6532"/>
    <w:multiLevelType w:val="hybridMultilevel"/>
    <w:tmpl w:val="30D6E380"/>
    <w:lvl w:ilvl="0" w:tplc="BA2E22FA">
      <w:start w:val="1"/>
      <w:numFmt w:val="decimal"/>
      <w:lvlText w:val="%1."/>
      <w:lvlJc w:val="left"/>
      <w:pPr>
        <w:ind w:left="720" w:hanging="360"/>
      </w:pPr>
      <w:rPr>
        <w:rFonts w:hint="default"/>
        <w:b/>
      </w:rPr>
    </w:lvl>
    <w:lvl w:ilvl="1" w:tplc="15D02734">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2141656"/>
    <w:multiLevelType w:val="hybridMultilevel"/>
    <w:tmpl w:val="2DF2F30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5CF85A6B"/>
    <w:multiLevelType w:val="hybridMultilevel"/>
    <w:tmpl w:val="EA00BC4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72AD1944"/>
    <w:multiLevelType w:val="hybridMultilevel"/>
    <w:tmpl w:val="FB94041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73BE0F64"/>
    <w:multiLevelType w:val="hybridMultilevel"/>
    <w:tmpl w:val="8B9EA098"/>
    <w:lvl w:ilvl="0" w:tplc="04150013">
      <w:start w:val="1"/>
      <w:numFmt w:val="upperRoman"/>
      <w:lvlText w:val="%1."/>
      <w:lvlJc w:val="righ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5"/>
  </w:num>
  <w:num w:numId="5">
    <w:abstractNumId w:val="6"/>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D0"/>
    <w:rsid w:val="001E451F"/>
    <w:rsid w:val="00203084"/>
    <w:rsid w:val="003E0E1F"/>
    <w:rsid w:val="00407214"/>
    <w:rsid w:val="00411D94"/>
    <w:rsid w:val="004F756A"/>
    <w:rsid w:val="0052198F"/>
    <w:rsid w:val="00585C1D"/>
    <w:rsid w:val="0058700A"/>
    <w:rsid w:val="007956D0"/>
    <w:rsid w:val="007E4CA8"/>
    <w:rsid w:val="009970F8"/>
    <w:rsid w:val="00A8375F"/>
    <w:rsid w:val="00B92489"/>
    <w:rsid w:val="00E119D1"/>
    <w:rsid w:val="00F76E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50004"/>
  <w15:chartTrackingRefBased/>
  <w15:docId w15:val="{91185FCB-1000-4BB0-9B5A-4B744CC5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Zwykatabela3">
    <w:name w:val="Plain Table 3"/>
    <w:basedOn w:val="Standardowy"/>
    <w:uiPriority w:val="43"/>
    <w:rsid w:val="007956D0"/>
    <w:pPr>
      <w:spacing w:after="0" w:line="240" w:lineRule="auto"/>
    </w:pPr>
    <w:rPr>
      <w:rFonts w:asciiTheme="minorHAnsi" w:hAnsiTheme="minorHAnsi"/>
      <w:sz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topka">
    <w:name w:val="footer"/>
    <w:basedOn w:val="Normalny"/>
    <w:link w:val="StopkaZnak"/>
    <w:uiPriority w:val="99"/>
    <w:unhideWhenUsed/>
    <w:rsid w:val="007956D0"/>
    <w:pPr>
      <w:tabs>
        <w:tab w:val="center" w:pos="4536"/>
        <w:tab w:val="right" w:pos="9072"/>
      </w:tabs>
      <w:spacing w:after="0" w:line="240" w:lineRule="auto"/>
    </w:pPr>
    <w:rPr>
      <w:rFonts w:asciiTheme="minorHAnsi" w:hAnsiTheme="minorHAnsi"/>
      <w:sz w:val="22"/>
    </w:rPr>
  </w:style>
  <w:style w:type="character" w:customStyle="1" w:styleId="StopkaZnak">
    <w:name w:val="Stopka Znak"/>
    <w:basedOn w:val="Domylnaczcionkaakapitu"/>
    <w:link w:val="Stopka"/>
    <w:uiPriority w:val="99"/>
    <w:rsid w:val="007956D0"/>
    <w:rPr>
      <w:rFonts w:asciiTheme="minorHAnsi" w:hAnsiTheme="minorHAnsi"/>
      <w:sz w:val="22"/>
    </w:rPr>
  </w:style>
  <w:style w:type="paragraph" w:styleId="Akapitzlist">
    <w:name w:val="List Paragraph"/>
    <w:basedOn w:val="Normalny"/>
    <w:uiPriority w:val="34"/>
    <w:qFormat/>
    <w:rsid w:val="00A8375F"/>
    <w:pPr>
      <w:ind w:left="720"/>
      <w:contextualSpacing/>
    </w:pPr>
  </w:style>
  <w:style w:type="paragraph" w:styleId="Tekstdymka">
    <w:name w:val="Balloon Text"/>
    <w:basedOn w:val="Normalny"/>
    <w:link w:val="TekstdymkaZnak"/>
    <w:uiPriority w:val="99"/>
    <w:semiHidden/>
    <w:unhideWhenUsed/>
    <w:rsid w:val="007E4C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4C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42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1030</Words>
  <Characters>6183</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Kubacka-Batura Ewa</dc:creator>
  <cp:keywords/>
  <dc:description/>
  <cp:lastModifiedBy>Waligóra Lucyna</cp:lastModifiedBy>
  <cp:revision>3</cp:revision>
  <cp:lastPrinted>2023-03-22T13:13:00Z</cp:lastPrinted>
  <dcterms:created xsi:type="dcterms:W3CDTF">2023-03-22T12:31:00Z</dcterms:created>
  <dcterms:modified xsi:type="dcterms:W3CDTF">2023-03-22T13:14:00Z</dcterms:modified>
</cp:coreProperties>
</file>