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C5E" w:rsidRDefault="00723C5E" w:rsidP="005E29CE">
      <w:pPr>
        <w:pStyle w:val="Bezodstpw"/>
        <w:jc w:val="center"/>
        <w:rPr>
          <w:rFonts w:ascii="Times New Roman" w:hAnsi="Times New Roman"/>
        </w:rPr>
      </w:pPr>
      <w:r>
        <w:t xml:space="preserve">                                                                                                                           </w:t>
      </w:r>
      <w:r w:rsidR="00ED069A">
        <w:rPr>
          <w:rFonts w:ascii="Times New Roman" w:hAnsi="Times New Roman"/>
        </w:rPr>
        <w:t xml:space="preserve"> </w:t>
      </w:r>
      <w:r w:rsidR="00495E47">
        <w:rPr>
          <w:rFonts w:ascii="Times New Roman" w:hAnsi="Times New Roman"/>
        </w:rPr>
        <w:t>Leszno, dnia 2</w:t>
      </w:r>
      <w:r w:rsidR="00ED069A">
        <w:rPr>
          <w:rFonts w:ascii="Times New Roman" w:hAnsi="Times New Roman"/>
        </w:rPr>
        <w:t>4 maja 2021</w:t>
      </w:r>
      <w:r w:rsidR="00B9515C">
        <w:rPr>
          <w:rFonts w:ascii="Times New Roman" w:hAnsi="Times New Roman"/>
        </w:rPr>
        <w:t xml:space="preserve"> </w:t>
      </w:r>
      <w:r w:rsidR="00ED069A">
        <w:rPr>
          <w:rFonts w:ascii="Times New Roman" w:hAnsi="Times New Roman"/>
        </w:rPr>
        <w:t>r.</w:t>
      </w:r>
    </w:p>
    <w:p w:rsidR="00723C5E" w:rsidRPr="00723C5E" w:rsidRDefault="00723C5E" w:rsidP="005E29CE">
      <w:pPr>
        <w:pStyle w:val="Bezodstpw"/>
        <w:jc w:val="center"/>
        <w:rPr>
          <w:rFonts w:ascii="Times New Roman" w:hAnsi="Times New Roman"/>
        </w:rPr>
      </w:pPr>
    </w:p>
    <w:p w:rsidR="00723C5E" w:rsidRPr="00723C5E" w:rsidRDefault="00723C5E" w:rsidP="005E29CE">
      <w:pPr>
        <w:pStyle w:val="Bezodstpw"/>
        <w:jc w:val="center"/>
        <w:rPr>
          <w:rFonts w:ascii="Times New Roman" w:hAnsi="Times New Roman"/>
        </w:rPr>
      </w:pPr>
    </w:p>
    <w:p w:rsidR="005E29CE" w:rsidRPr="00112A7C" w:rsidRDefault="005E29CE" w:rsidP="005E29CE">
      <w:pPr>
        <w:pStyle w:val="Bezodstpw"/>
        <w:jc w:val="center"/>
      </w:pPr>
      <w:r>
        <w:t xml:space="preserve">Test jednokrotnego wyboru. </w:t>
      </w:r>
      <w:r w:rsidRPr="00112A7C">
        <w:t>Odpowied</w:t>
      </w:r>
      <w:r>
        <w:t>ź</w:t>
      </w:r>
      <w:r w:rsidRPr="00112A7C">
        <w:t xml:space="preserve"> właściwą należy wskazać przez zakreślenie</w:t>
      </w:r>
      <w:r>
        <w:t xml:space="preserve"> znakiem </w:t>
      </w:r>
      <w:r w:rsidRPr="00112A7C">
        <w:t>„X” oznaczenia literowego. Za każde prawidłowe rozwiązanie zadania testowego</w:t>
      </w:r>
    </w:p>
    <w:p w:rsidR="005E29CE" w:rsidRPr="00112A7C" w:rsidRDefault="005E29CE" w:rsidP="005E29CE">
      <w:pPr>
        <w:pStyle w:val="Bezodstpw"/>
        <w:jc w:val="center"/>
      </w:pPr>
      <w:r w:rsidRPr="00112A7C">
        <w:t>komisja przyznaje 1 punkt. W przypadku dokonania przez kandydata zmian zakreślonych</w:t>
      </w:r>
    </w:p>
    <w:p w:rsidR="005E29CE" w:rsidRDefault="005E29CE" w:rsidP="005E29CE">
      <w:pPr>
        <w:pStyle w:val="Bezodstpw"/>
        <w:jc w:val="center"/>
      </w:pPr>
      <w:r w:rsidRPr="00112A7C">
        <w:t>odpowiedzi za dane zadanie testowe komisja przyznaje 0 punktów</w:t>
      </w:r>
      <w:r>
        <w:t>.</w:t>
      </w:r>
    </w:p>
    <w:p w:rsidR="005E29CE" w:rsidRDefault="005E29CE" w:rsidP="005E29CE">
      <w:pPr>
        <w:ind w:right="-828"/>
        <w:jc w:val="both"/>
      </w:pPr>
    </w:p>
    <w:p w:rsidR="005E29CE" w:rsidRDefault="005E29CE" w:rsidP="005E29CE">
      <w:pPr>
        <w:ind w:right="-828"/>
        <w:jc w:val="both"/>
      </w:pPr>
      <w:r w:rsidRPr="002417EA">
        <w:t>Imię i nazwisko kandydata</w:t>
      </w:r>
      <w:r>
        <w:t xml:space="preserve"> </w:t>
      </w:r>
      <w:r w:rsidRPr="002417EA">
        <w:t>- ....................................</w:t>
      </w:r>
      <w:r>
        <w:t>..............................................................................</w:t>
      </w:r>
    </w:p>
    <w:p w:rsidR="005E29CE" w:rsidRPr="002417EA" w:rsidRDefault="005E29CE" w:rsidP="005E29CE">
      <w:pPr>
        <w:ind w:right="-828"/>
        <w:jc w:val="both"/>
      </w:pPr>
    </w:p>
    <w:p w:rsidR="005E29CE" w:rsidRPr="0082016A" w:rsidRDefault="005E29CE" w:rsidP="005E29CE">
      <w:pPr>
        <w:tabs>
          <w:tab w:val="left" w:pos="8100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2016A">
        <w:rPr>
          <w:rFonts w:ascii="Times New Roman" w:hAnsi="Times New Roman"/>
          <w:sz w:val="24"/>
          <w:szCs w:val="24"/>
        </w:rPr>
        <w:t>TEST KWALIFIKACYJNY</w:t>
      </w:r>
    </w:p>
    <w:p w:rsidR="005E29CE" w:rsidRPr="0082016A" w:rsidRDefault="005E29CE" w:rsidP="006B56D8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2016A">
        <w:rPr>
          <w:rFonts w:ascii="Times New Roman" w:hAnsi="Times New Roman"/>
          <w:b/>
          <w:bCs/>
          <w:sz w:val="24"/>
          <w:szCs w:val="24"/>
        </w:rPr>
        <w:t xml:space="preserve">dla kandydatów na stanowisko asystenta sędziego w Sądzie Rejonowym w Lesznie – </w:t>
      </w:r>
      <w:r w:rsidR="006B56D8" w:rsidRPr="0082016A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0082016A">
        <w:rPr>
          <w:rFonts w:ascii="Times New Roman" w:hAnsi="Times New Roman"/>
          <w:b/>
          <w:bCs/>
          <w:sz w:val="24"/>
          <w:szCs w:val="24"/>
        </w:rPr>
        <w:t>blok cywilny</w:t>
      </w:r>
    </w:p>
    <w:p w:rsidR="00ED069A" w:rsidRDefault="00ED069A" w:rsidP="00ED069A">
      <w:pPr>
        <w:pStyle w:val="Default"/>
        <w:spacing w:line="360" w:lineRule="auto"/>
      </w:pPr>
    </w:p>
    <w:p w:rsidR="00ED069A" w:rsidRDefault="00ED069A" w:rsidP="004066EE">
      <w:pPr>
        <w:pStyle w:val="Default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Asystent sędziego jest uprawniony do wydawania:                                           </w:t>
      </w:r>
    </w:p>
    <w:p w:rsidR="00ED069A" w:rsidRPr="00B9515C" w:rsidRDefault="00ED069A" w:rsidP="004066EE">
      <w:pPr>
        <w:pStyle w:val="Default"/>
        <w:numPr>
          <w:ilvl w:val="0"/>
          <w:numId w:val="2"/>
        </w:numPr>
        <w:spacing w:line="360" w:lineRule="auto"/>
      </w:pPr>
      <w:r w:rsidRPr="00B9515C">
        <w:t xml:space="preserve">wszystkich zarządzeń przewodniczącego, z wyjątkiem zarządzeń o zwrocie pisma procesowego, w tym pozwu; </w:t>
      </w:r>
    </w:p>
    <w:p w:rsidR="00ED069A" w:rsidRDefault="00ED069A" w:rsidP="004066EE">
      <w:pPr>
        <w:pStyle w:val="Default"/>
        <w:numPr>
          <w:ilvl w:val="0"/>
          <w:numId w:val="2"/>
        </w:numPr>
        <w:spacing w:line="360" w:lineRule="auto"/>
      </w:pPr>
      <w:r>
        <w:t xml:space="preserve">tylko zarządzeń wzywających do uiszczenia opłaty; </w:t>
      </w:r>
    </w:p>
    <w:p w:rsidR="00ED069A" w:rsidRDefault="00ED069A" w:rsidP="004066EE">
      <w:pPr>
        <w:pStyle w:val="Default"/>
        <w:numPr>
          <w:ilvl w:val="0"/>
          <w:numId w:val="2"/>
        </w:numPr>
        <w:spacing w:line="360" w:lineRule="auto"/>
      </w:pPr>
      <w:r>
        <w:t>tylko zarządzeń o zwrocie</w:t>
      </w:r>
      <w:r w:rsidR="00495E47">
        <w:t xml:space="preserve"> pisma procesowego, w tym pozwu.</w:t>
      </w:r>
      <w:r>
        <w:t xml:space="preserve"> </w:t>
      </w:r>
    </w:p>
    <w:p w:rsidR="00ED069A" w:rsidRDefault="00ED069A" w:rsidP="00ED069A">
      <w:pPr>
        <w:pStyle w:val="Default"/>
        <w:spacing w:line="360" w:lineRule="auto"/>
      </w:pPr>
    </w:p>
    <w:p w:rsidR="00ED069A" w:rsidRDefault="00ED069A" w:rsidP="004066EE">
      <w:pPr>
        <w:pStyle w:val="Default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W razie śmierci strony w toku postępowania sąd: </w:t>
      </w:r>
    </w:p>
    <w:p w:rsidR="00ED069A" w:rsidRPr="00B9515C" w:rsidRDefault="00ED069A" w:rsidP="004066EE">
      <w:pPr>
        <w:pStyle w:val="Default"/>
        <w:numPr>
          <w:ilvl w:val="0"/>
          <w:numId w:val="3"/>
        </w:numPr>
        <w:spacing w:line="360" w:lineRule="auto"/>
      </w:pPr>
      <w:r w:rsidRPr="00B9515C">
        <w:t xml:space="preserve">zawiesza postępowanie z urzędu; </w:t>
      </w:r>
    </w:p>
    <w:p w:rsidR="00ED069A" w:rsidRDefault="00ED069A" w:rsidP="004066EE">
      <w:pPr>
        <w:pStyle w:val="Default"/>
        <w:numPr>
          <w:ilvl w:val="0"/>
          <w:numId w:val="3"/>
        </w:numPr>
        <w:spacing w:line="360" w:lineRule="auto"/>
      </w:pPr>
      <w:r>
        <w:t xml:space="preserve">zawiesza postępowanie na wniosek strony przeciwnej; </w:t>
      </w:r>
    </w:p>
    <w:p w:rsidR="00ED069A" w:rsidRDefault="00ED069A" w:rsidP="004066EE">
      <w:pPr>
        <w:pStyle w:val="Default"/>
        <w:numPr>
          <w:ilvl w:val="0"/>
          <w:numId w:val="3"/>
        </w:numPr>
        <w:spacing w:line="360" w:lineRule="auto"/>
      </w:pPr>
      <w:r>
        <w:t xml:space="preserve">może zawiesić postępowanie. </w:t>
      </w:r>
    </w:p>
    <w:p w:rsidR="00ED069A" w:rsidRDefault="00ED069A" w:rsidP="00ED069A">
      <w:pPr>
        <w:pStyle w:val="Default"/>
        <w:spacing w:line="360" w:lineRule="auto"/>
      </w:pPr>
    </w:p>
    <w:p w:rsidR="00ED069A" w:rsidRDefault="00ED069A" w:rsidP="004066EE">
      <w:pPr>
        <w:pStyle w:val="Default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Od nakazu zapłaty w postępowaniu upominawczym pozwany może wnieść: </w:t>
      </w:r>
    </w:p>
    <w:p w:rsidR="00ED069A" w:rsidRPr="00A95651" w:rsidRDefault="00ED069A" w:rsidP="004066EE">
      <w:pPr>
        <w:pStyle w:val="Default"/>
        <w:numPr>
          <w:ilvl w:val="0"/>
          <w:numId w:val="4"/>
        </w:numPr>
        <w:spacing w:line="360" w:lineRule="auto"/>
      </w:pPr>
      <w:r w:rsidRPr="00A95651">
        <w:t xml:space="preserve">sprzeciw w terminie 14 dni od daty doręczenia mu nakazu; </w:t>
      </w:r>
    </w:p>
    <w:p w:rsidR="00ED069A" w:rsidRDefault="00ED069A" w:rsidP="004066EE">
      <w:pPr>
        <w:pStyle w:val="Default"/>
        <w:numPr>
          <w:ilvl w:val="0"/>
          <w:numId w:val="4"/>
        </w:numPr>
        <w:spacing w:line="360" w:lineRule="auto"/>
      </w:pPr>
      <w:r>
        <w:t xml:space="preserve">zarzuty w terminie 14 dni od daty doręczenia mu nakazu; </w:t>
      </w:r>
    </w:p>
    <w:p w:rsidR="00ED069A" w:rsidRDefault="00ED069A" w:rsidP="004066EE">
      <w:pPr>
        <w:pStyle w:val="Default"/>
        <w:numPr>
          <w:ilvl w:val="0"/>
          <w:numId w:val="4"/>
        </w:numPr>
        <w:spacing w:line="360" w:lineRule="auto"/>
      </w:pPr>
      <w:r>
        <w:t xml:space="preserve">sprzeciw w terminie 7 dni od daty doręczenia mu nakazu. </w:t>
      </w:r>
    </w:p>
    <w:p w:rsidR="00A95651" w:rsidRDefault="00A95651" w:rsidP="00A95651">
      <w:pPr>
        <w:pStyle w:val="Default"/>
        <w:spacing w:line="360" w:lineRule="auto"/>
        <w:ind w:left="720"/>
      </w:pPr>
    </w:p>
    <w:p w:rsidR="00ED069A" w:rsidRDefault="00ED069A" w:rsidP="004066EE">
      <w:pPr>
        <w:pStyle w:val="Default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Jeżeli koniec terminu na dokonanie czynności przypada na sobotę, termin upływa: </w:t>
      </w:r>
    </w:p>
    <w:p w:rsidR="00ED069A" w:rsidRDefault="00ED069A" w:rsidP="004066EE">
      <w:pPr>
        <w:pStyle w:val="Default"/>
        <w:numPr>
          <w:ilvl w:val="0"/>
          <w:numId w:val="5"/>
        </w:numPr>
        <w:spacing w:line="360" w:lineRule="auto"/>
      </w:pPr>
      <w:r>
        <w:t xml:space="preserve">w niedzielę; </w:t>
      </w:r>
    </w:p>
    <w:p w:rsidR="00ED069A" w:rsidRPr="00A95651" w:rsidRDefault="00ED069A" w:rsidP="004066EE">
      <w:pPr>
        <w:pStyle w:val="Default"/>
        <w:numPr>
          <w:ilvl w:val="0"/>
          <w:numId w:val="5"/>
        </w:numPr>
        <w:spacing w:line="360" w:lineRule="auto"/>
      </w:pPr>
      <w:r w:rsidRPr="00A95651">
        <w:t xml:space="preserve">w poniedziałek; </w:t>
      </w:r>
    </w:p>
    <w:p w:rsidR="00ED069A" w:rsidRDefault="00ED069A" w:rsidP="004066EE">
      <w:pPr>
        <w:pStyle w:val="Default"/>
        <w:numPr>
          <w:ilvl w:val="0"/>
          <w:numId w:val="5"/>
        </w:numPr>
        <w:spacing w:line="360" w:lineRule="auto"/>
      </w:pPr>
      <w:r>
        <w:t xml:space="preserve">we wtorek. </w:t>
      </w:r>
    </w:p>
    <w:p w:rsidR="00A95651" w:rsidRDefault="00A95651" w:rsidP="00ED069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D069A" w:rsidRPr="00A95651" w:rsidRDefault="000F1409" w:rsidP="004066EE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O</w:t>
      </w:r>
      <w:r w:rsidR="00ED069A" w:rsidRPr="00A95651">
        <w:rPr>
          <w:rFonts w:ascii="Times New Roman" w:hAnsi="Times New Roman"/>
          <w:b/>
          <w:sz w:val="24"/>
          <w:szCs w:val="24"/>
        </w:rPr>
        <w:t>płata sądowa od pozwu w sprawie o prawo majątkowe o wartości przedmiotu sporu wynoszącej 18000 zł. wynosi</w:t>
      </w:r>
      <w:r w:rsidR="00ED069A" w:rsidRPr="00A95651">
        <w:rPr>
          <w:rFonts w:ascii="Times New Roman" w:hAnsi="Times New Roman"/>
          <w:sz w:val="24"/>
          <w:szCs w:val="24"/>
        </w:rPr>
        <w:t>:</w:t>
      </w:r>
    </w:p>
    <w:p w:rsidR="00ED069A" w:rsidRPr="000F1409" w:rsidRDefault="00830233" w:rsidP="004066EE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900 zł</w:t>
      </w:r>
      <w:r w:rsidR="003D3755">
        <w:rPr>
          <w:rFonts w:ascii="Times New Roman" w:hAnsi="Times New Roman"/>
          <w:sz w:val="24"/>
          <w:szCs w:val="24"/>
        </w:rPr>
        <w:t>;</w:t>
      </w:r>
    </w:p>
    <w:p w:rsidR="00ED069A" w:rsidRPr="000F1409" w:rsidRDefault="00830233" w:rsidP="004066EE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1000 zł</w:t>
      </w:r>
      <w:r w:rsidR="003D3755">
        <w:rPr>
          <w:rFonts w:ascii="Times New Roman" w:hAnsi="Times New Roman"/>
          <w:sz w:val="24"/>
          <w:szCs w:val="24"/>
        </w:rPr>
        <w:t>;</w:t>
      </w:r>
    </w:p>
    <w:p w:rsidR="00ED069A" w:rsidRPr="000F1409" w:rsidRDefault="00830233" w:rsidP="004066EE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300 zł</w:t>
      </w:r>
      <w:r w:rsidR="003D3755">
        <w:rPr>
          <w:rFonts w:ascii="Times New Roman" w:hAnsi="Times New Roman"/>
          <w:sz w:val="24"/>
          <w:szCs w:val="24"/>
        </w:rPr>
        <w:t>.</w:t>
      </w:r>
    </w:p>
    <w:p w:rsidR="00ED069A" w:rsidRDefault="00ED069A" w:rsidP="00ED069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ED069A" w:rsidRPr="000F1409" w:rsidRDefault="00ED069A" w:rsidP="004066E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0F1409">
        <w:rPr>
          <w:rFonts w:ascii="Times New Roman" w:hAnsi="Times New Roman"/>
          <w:b/>
          <w:color w:val="000000"/>
          <w:sz w:val="24"/>
          <w:szCs w:val="24"/>
        </w:rPr>
        <w:t>Roszczenie windykacyjne właściciela</w:t>
      </w:r>
      <w:r w:rsidRPr="000F1409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ED069A" w:rsidRPr="000F1409" w:rsidRDefault="00830233" w:rsidP="004066E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nie podlega przedawnieniu;</w:t>
      </w:r>
      <w:r w:rsidR="00ED069A" w:rsidRPr="000F140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Pr="000F1409" w:rsidRDefault="00ED069A" w:rsidP="004066E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0F1409">
        <w:rPr>
          <w:rFonts w:ascii="Times New Roman" w:hAnsi="Times New Roman"/>
          <w:color w:val="000000"/>
          <w:sz w:val="24"/>
          <w:szCs w:val="24"/>
        </w:rPr>
        <w:t>nie podlega przedawnien</w:t>
      </w:r>
      <w:r w:rsidR="00830233">
        <w:rPr>
          <w:rFonts w:ascii="Times New Roman" w:hAnsi="Times New Roman"/>
          <w:color w:val="000000"/>
          <w:sz w:val="24"/>
          <w:szCs w:val="24"/>
        </w:rPr>
        <w:t>iu, jeśli dotyczy nieruchomości;</w:t>
      </w:r>
      <w:r w:rsidRPr="000F140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Pr="000F1409" w:rsidRDefault="00ED069A" w:rsidP="004066E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0F1409">
        <w:rPr>
          <w:rFonts w:ascii="Times New Roman" w:hAnsi="Times New Roman"/>
          <w:color w:val="000000"/>
          <w:sz w:val="24"/>
          <w:szCs w:val="24"/>
        </w:rPr>
        <w:t>podlega prz</w:t>
      </w:r>
      <w:r w:rsidR="00830233">
        <w:rPr>
          <w:rFonts w:ascii="Times New Roman" w:hAnsi="Times New Roman"/>
          <w:color w:val="000000"/>
          <w:sz w:val="24"/>
          <w:szCs w:val="24"/>
        </w:rPr>
        <w:t>edawnieniu na zasadach ogólnych.</w:t>
      </w:r>
      <w:r w:rsidRPr="000F140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Default="00ED069A" w:rsidP="00ED069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D069A" w:rsidRDefault="00ED069A" w:rsidP="004066EE">
      <w:pPr>
        <w:pStyle w:val="Default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Biegu przedawnienia nie przerywa: </w:t>
      </w:r>
    </w:p>
    <w:p w:rsidR="00ED069A" w:rsidRDefault="00ED069A" w:rsidP="004066EE">
      <w:pPr>
        <w:pStyle w:val="Default"/>
        <w:numPr>
          <w:ilvl w:val="0"/>
          <w:numId w:val="8"/>
        </w:numPr>
        <w:spacing w:line="360" w:lineRule="auto"/>
      </w:pPr>
      <w:r>
        <w:t xml:space="preserve">wszczęcie mediacji; </w:t>
      </w:r>
    </w:p>
    <w:p w:rsidR="00ED069A" w:rsidRPr="000137A4" w:rsidRDefault="00ED069A" w:rsidP="004066EE">
      <w:pPr>
        <w:pStyle w:val="Default"/>
        <w:numPr>
          <w:ilvl w:val="0"/>
          <w:numId w:val="8"/>
        </w:numPr>
        <w:spacing w:line="360" w:lineRule="auto"/>
      </w:pPr>
      <w:r w:rsidRPr="000137A4">
        <w:t xml:space="preserve">pisemne wezwanie dłużnika do spełnienia świadczenia; </w:t>
      </w:r>
    </w:p>
    <w:p w:rsidR="00ED069A" w:rsidRDefault="00ED069A" w:rsidP="004066EE">
      <w:pPr>
        <w:pStyle w:val="Default"/>
        <w:numPr>
          <w:ilvl w:val="0"/>
          <w:numId w:val="8"/>
        </w:numPr>
        <w:spacing w:line="360" w:lineRule="auto"/>
      </w:pPr>
      <w:r>
        <w:t xml:space="preserve">uznanie roszczenia przez dłużnika. </w:t>
      </w:r>
    </w:p>
    <w:p w:rsidR="00ED069A" w:rsidRDefault="00ED069A" w:rsidP="00ED069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ED069A" w:rsidRPr="002D52F7" w:rsidRDefault="00ED069A" w:rsidP="004066E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D52F7">
        <w:rPr>
          <w:rFonts w:ascii="Times New Roman" w:hAnsi="Times New Roman"/>
          <w:b/>
          <w:color w:val="000000"/>
          <w:sz w:val="24"/>
          <w:szCs w:val="24"/>
        </w:rPr>
        <w:t xml:space="preserve">W obowiązującym stanie prawnym, jeżeli przepis szczególny nie stanowi inaczej, termin przedawnienia wynosi: </w:t>
      </w:r>
    </w:p>
    <w:p w:rsidR="00ED069A" w:rsidRPr="002D52F7" w:rsidRDefault="00ED069A" w:rsidP="004066E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D52F7">
        <w:rPr>
          <w:rFonts w:ascii="Times New Roman" w:hAnsi="Times New Roman"/>
          <w:color w:val="000000"/>
          <w:sz w:val="24"/>
          <w:szCs w:val="24"/>
        </w:rPr>
        <w:t>sześć lat, a dla roszczeń o świadczenia okresowe oraz roszczeń związanych z prowadzeniem działa</w:t>
      </w:r>
      <w:r w:rsidR="00830233">
        <w:rPr>
          <w:rFonts w:ascii="Times New Roman" w:hAnsi="Times New Roman"/>
          <w:color w:val="000000"/>
          <w:sz w:val="24"/>
          <w:szCs w:val="24"/>
        </w:rPr>
        <w:t>lności gospodarczej – trzy lata;</w:t>
      </w:r>
      <w:r w:rsidRPr="002D52F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Pr="002D52F7" w:rsidRDefault="00ED069A" w:rsidP="004066E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D52F7">
        <w:rPr>
          <w:rFonts w:ascii="Times New Roman" w:hAnsi="Times New Roman"/>
          <w:color w:val="000000"/>
          <w:sz w:val="24"/>
          <w:szCs w:val="24"/>
        </w:rPr>
        <w:t>dziesięć lat, a dla roszczeń o świadczenia okresowe oraz roszczeń związanych z prowadzeniem działalności gospodarczej – t</w:t>
      </w:r>
      <w:r w:rsidR="00830233">
        <w:rPr>
          <w:rFonts w:ascii="Times New Roman" w:hAnsi="Times New Roman"/>
          <w:color w:val="000000"/>
          <w:sz w:val="24"/>
          <w:szCs w:val="24"/>
        </w:rPr>
        <w:t>rzy lata;</w:t>
      </w:r>
      <w:r w:rsidRPr="002D52F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Pr="002D52F7" w:rsidRDefault="00ED069A" w:rsidP="004066E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D52F7">
        <w:rPr>
          <w:rFonts w:ascii="Times New Roman" w:hAnsi="Times New Roman"/>
          <w:color w:val="000000"/>
          <w:sz w:val="24"/>
          <w:szCs w:val="24"/>
        </w:rPr>
        <w:t>dziesięć lat, a dla roszczeń o świadczenia okresowe oraz roszczeń związanych z prowadzeniem działal</w:t>
      </w:r>
      <w:r w:rsidR="00830233">
        <w:rPr>
          <w:rFonts w:ascii="Times New Roman" w:hAnsi="Times New Roman"/>
          <w:color w:val="000000"/>
          <w:sz w:val="24"/>
          <w:szCs w:val="24"/>
        </w:rPr>
        <w:t>ności gospodarczej – sześć lat.</w:t>
      </w:r>
    </w:p>
    <w:p w:rsidR="00ED069A" w:rsidRDefault="00ED069A" w:rsidP="00ED069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ED069A" w:rsidRPr="00526754" w:rsidRDefault="00ED069A" w:rsidP="004066E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26754">
        <w:rPr>
          <w:rFonts w:ascii="Times New Roman" w:hAnsi="Times New Roman"/>
          <w:b/>
          <w:color w:val="000000"/>
          <w:sz w:val="24"/>
          <w:szCs w:val="24"/>
        </w:rPr>
        <w:t>Wypowiedzenie pełnomocnictwa procesowego przez mocodawcę odnosi skutek prawny w stosunku do przeciwnika i innych uczestników:</w:t>
      </w:r>
      <w:r w:rsidRPr="0052675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Pr="00526754" w:rsidRDefault="00830233" w:rsidP="004066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 chwilą wypowiedzenia;</w:t>
      </w:r>
      <w:r w:rsidR="00ED069A" w:rsidRPr="0052675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Pr="00526754" w:rsidRDefault="00ED069A" w:rsidP="004066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26754">
        <w:rPr>
          <w:rFonts w:ascii="Times New Roman" w:hAnsi="Times New Roman"/>
          <w:color w:val="000000"/>
          <w:sz w:val="24"/>
          <w:szCs w:val="24"/>
        </w:rPr>
        <w:t>z chwilą doręczenia i</w:t>
      </w:r>
      <w:r w:rsidR="00830233">
        <w:rPr>
          <w:rFonts w:ascii="Times New Roman" w:hAnsi="Times New Roman"/>
          <w:color w:val="000000"/>
          <w:sz w:val="24"/>
          <w:szCs w:val="24"/>
        </w:rPr>
        <w:t>m zawiadomienia przez mocodawcę;</w:t>
      </w:r>
      <w:r w:rsidRPr="0052675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Default="00ED069A" w:rsidP="004066E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26754">
        <w:rPr>
          <w:rFonts w:ascii="Times New Roman" w:hAnsi="Times New Roman"/>
          <w:color w:val="000000"/>
          <w:sz w:val="24"/>
          <w:szCs w:val="24"/>
        </w:rPr>
        <w:t>z chwilą doręcz</w:t>
      </w:r>
      <w:r w:rsidR="00830233">
        <w:rPr>
          <w:rFonts w:ascii="Times New Roman" w:hAnsi="Times New Roman"/>
          <w:color w:val="000000"/>
          <w:sz w:val="24"/>
          <w:szCs w:val="24"/>
        </w:rPr>
        <w:t>enia im zawiadomienia przez sąd.</w:t>
      </w:r>
      <w:r w:rsidRPr="0052675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B310FD" w:rsidRDefault="00B310FD" w:rsidP="00B310FD">
      <w:pPr>
        <w:pStyle w:val="Akapitzlist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B310FD" w:rsidRDefault="00B310FD" w:rsidP="00B310FD">
      <w:pPr>
        <w:pStyle w:val="Akapitzlist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EB27A1" w:rsidRPr="00526754" w:rsidRDefault="00EB27A1" w:rsidP="00B310FD">
      <w:pPr>
        <w:pStyle w:val="Akapitzlist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:rsidR="00ED069A" w:rsidRDefault="00ED069A" w:rsidP="00ED069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ED069A" w:rsidRPr="00837B83" w:rsidRDefault="00ED069A" w:rsidP="004066E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837B83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W aktualnym stanie prawnym Sąd umarza postępowanie zawieszone na zgodny wniosek stron, jeżeli wniosek o podjęcie postępowania nie został zgłoszony: </w:t>
      </w:r>
    </w:p>
    <w:p w:rsidR="00ED069A" w:rsidRPr="00837B83" w:rsidRDefault="00ED069A" w:rsidP="004066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837B83">
        <w:rPr>
          <w:rFonts w:ascii="Times New Roman" w:hAnsi="Times New Roman"/>
          <w:color w:val="000000"/>
          <w:sz w:val="24"/>
          <w:szCs w:val="24"/>
        </w:rPr>
        <w:t>w ciągu trzech miesięcy od daty postanowi</w:t>
      </w:r>
      <w:r w:rsidR="00830233">
        <w:rPr>
          <w:rFonts w:ascii="Times New Roman" w:hAnsi="Times New Roman"/>
          <w:color w:val="000000"/>
          <w:sz w:val="24"/>
          <w:szCs w:val="24"/>
        </w:rPr>
        <w:t>enia o zawieszeniu postępowania;</w:t>
      </w:r>
      <w:r w:rsidRPr="00837B8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Pr="00837B83" w:rsidRDefault="00ED069A" w:rsidP="004066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837B83">
        <w:rPr>
          <w:rFonts w:ascii="Times New Roman" w:hAnsi="Times New Roman"/>
          <w:color w:val="000000"/>
          <w:sz w:val="24"/>
          <w:szCs w:val="24"/>
        </w:rPr>
        <w:t>w ciągu trzech miesięcy od daty uprawomocnienia się postanowi</w:t>
      </w:r>
      <w:r w:rsidR="00830233">
        <w:rPr>
          <w:rFonts w:ascii="Times New Roman" w:hAnsi="Times New Roman"/>
          <w:color w:val="000000"/>
          <w:sz w:val="24"/>
          <w:szCs w:val="24"/>
        </w:rPr>
        <w:t>enia o zawieszeniu postępowania;</w:t>
      </w:r>
      <w:r w:rsidRPr="00837B8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Pr="00837B83" w:rsidRDefault="00ED069A" w:rsidP="004066E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837B83">
        <w:rPr>
          <w:rFonts w:ascii="Times New Roman" w:hAnsi="Times New Roman"/>
          <w:color w:val="000000"/>
          <w:sz w:val="24"/>
          <w:szCs w:val="24"/>
        </w:rPr>
        <w:t>w ciągu sześciu miesięcy od daty postanowi</w:t>
      </w:r>
      <w:r w:rsidR="00830233">
        <w:rPr>
          <w:rFonts w:ascii="Times New Roman" w:hAnsi="Times New Roman"/>
          <w:color w:val="000000"/>
          <w:sz w:val="24"/>
          <w:szCs w:val="24"/>
        </w:rPr>
        <w:t>enia o zawieszeniu postępowania.</w:t>
      </w:r>
      <w:r w:rsidRPr="00837B8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Default="00ED069A" w:rsidP="00ED069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ED069A" w:rsidRPr="00AE673D" w:rsidRDefault="00ED069A" w:rsidP="004066E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AE673D">
        <w:rPr>
          <w:rFonts w:ascii="Times New Roman" w:hAnsi="Times New Roman"/>
          <w:b/>
          <w:color w:val="000000"/>
          <w:sz w:val="24"/>
          <w:szCs w:val="24"/>
        </w:rPr>
        <w:t>Na zarządzenie asystenta sędziego o wezwaniu do uiszczenia opłaty stronie przysługuje:</w:t>
      </w:r>
      <w:r w:rsidRPr="00AE673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Pr="00AE673D" w:rsidRDefault="00830233" w:rsidP="004066E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zastrzeżenie;</w:t>
      </w:r>
      <w:r w:rsidR="00ED069A" w:rsidRPr="00AE673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Pr="00AE673D" w:rsidRDefault="00830233" w:rsidP="004066E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skarga;</w:t>
      </w:r>
      <w:r w:rsidR="00ED069A" w:rsidRPr="00AE673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Pr="00AE673D" w:rsidRDefault="00830233" w:rsidP="004066EE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zażalenie.</w:t>
      </w:r>
      <w:r w:rsidR="00ED069A" w:rsidRPr="00AE673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069A" w:rsidRDefault="00ED069A" w:rsidP="00ED069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D069A" w:rsidRPr="00AE673D" w:rsidRDefault="00ED069A" w:rsidP="004066E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AE673D">
        <w:rPr>
          <w:rFonts w:ascii="Times New Roman" w:hAnsi="Times New Roman"/>
          <w:b/>
          <w:sz w:val="24"/>
          <w:szCs w:val="24"/>
        </w:rPr>
        <w:t>Spóźniony lub z mocy ustawy niedopuszczalny wniosek o przywrócenie terminu sąd:</w:t>
      </w:r>
    </w:p>
    <w:p w:rsidR="00ED069A" w:rsidRPr="007E105C" w:rsidRDefault="00ED069A" w:rsidP="004066E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7E105C">
        <w:rPr>
          <w:rFonts w:ascii="Times New Roman" w:hAnsi="Times New Roman"/>
          <w:sz w:val="24"/>
          <w:szCs w:val="24"/>
        </w:rPr>
        <w:t>oddala;</w:t>
      </w:r>
    </w:p>
    <w:p w:rsidR="00ED069A" w:rsidRPr="007E105C" w:rsidRDefault="00ED069A" w:rsidP="004066E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7E105C">
        <w:rPr>
          <w:rFonts w:ascii="Times New Roman" w:hAnsi="Times New Roman"/>
          <w:sz w:val="24"/>
          <w:szCs w:val="24"/>
        </w:rPr>
        <w:t>odrzuca;</w:t>
      </w:r>
    </w:p>
    <w:p w:rsidR="00ED069A" w:rsidRPr="007E105C" w:rsidRDefault="00ED069A" w:rsidP="004066EE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E105C">
        <w:rPr>
          <w:rFonts w:ascii="Times New Roman" w:hAnsi="Times New Roman"/>
          <w:sz w:val="24"/>
          <w:szCs w:val="24"/>
        </w:rPr>
        <w:t>pozostawia bez rozpoznania.</w:t>
      </w:r>
    </w:p>
    <w:p w:rsidR="00ED069A" w:rsidRDefault="00ED069A" w:rsidP="00ED069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D069A" w:rsidRDefault="00ED069A" w:rsidP="004066EE">
      <w:pPr>
        <w:pStyle w:val="Default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Posiadacz zależny może nabyć przez zasiedzenie własność rzeczy ruchomej: </w:t>
      </w:r>
    </w:p>
    <w:p w:rsidR="00ED069A" w:rsidRDefault="00ED069A" w:rsidP="004066EE">
      <w:pPr>
        <w:pStyle w:val="Default"/>
        <w:numPr>
          <w:ilvl w:val="0"/>
          <w:numId w:val="14"/>
        </w:numPr>
        <w:spacing w:line="360" w:lineRule="auto"/>
      </w:pPr>
      <w:r>
        <w:t xml:space="preserve">tylko, gdy przez cały okres zasiedzenia posiadał ją w dobrej wierze; </w:t>
      </w:r>
    </w:p>
    <w:p w:rsidR="00ED069A" w:rsidRDefault="00ED069A" w:rsidP="004066EE">
      <w:pPr>
        <w:pStyle w:val="Default"/>
        <w:numPr>
          <w:ilvl w:val="0"/>
          <w:numId w:val="14"/>
        </w:numPr>
        <w:spacing w:line="360" w:lineRule="auto"/>
      </w:pPr>
      <w:r>
        <w:t xml:space="preserve">po upływie lat 3, jeśli obejmując rzecz w posiadanie był w dobrej wierze; </w:t>
      </w:r>
    </w:p>
    <w:p w:rsidR="00ED069A" w:rsidRPr="007E105C" w:rsidRDefault="00ED069A" w:rsidP="004066EE">
      <w:pPr>
        <w:pStyle w:val="Default"/>
        <w:numPr>
          <w:ilvl w:val="0"/>
          <w:numId w:val="14"/>
        </w:numPr>
        <w:spacing w:line="360" w:lineRule="auto"/>
      </w:pPr>
      <w:r w:rsidRPr="007E105C">
        <w:t xml:space="preserve">żadna z odpowiedzi nie jest poprawna. </w:t>
      </w:r>
    </w:p>
    <w:p w:rsidR="00ED069A" w:rsidRDefault="00ED069A" w:rsidP="00ED069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D069A" w:rsidRPr="007D336D" w:rsidRDefault="00ED069A" w:rsidP="004066E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7D336D">
        <w:rPr>
          <w:rFonts w:ascii="Times New Roman" w:hAnsi="Times New Roman"/>
          <w:b/>
          <w:sz w:val="24"/>
          <w:szCs w:val="24"/>
        </w:rPr>
        <w:t>Zgodnie z art. 104 k.p.c. koszty procesu, w którym zawarto ugodę:</w:t>
      </w:r>
    </w:p>
    <w:p w:rsidR="00ED069A" w:rsidRPr="007D336D" w:rsidRDefault="00ED069A" w:rsidP="004066E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7D336D">
        <w:rPr>
          <w:rFonts w:ascii="Times New Roman" w:hAnsi="Times New Roman"/>
          <w:sz w:val="24"/>
          <w:szCs w:val="24"/>
        </w:rPr>
        <w:t>znoszą się wzajemnie;</w:t>
      </w:r>
    </w:p>
    <w:p w:rsidR="00ED069A" w:rsidRPr="007D336D" w:rsidRDefault="00ED069A" w:rsidP="004066E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7D336D">
        <w:rPr>
          <w:rFonts w:ascii="Times New Roman" w:hAnsi="Times New Roman"/>
          <w:sz w:val="24"/>
          <w:szCs w:val="24"/>
        </w:rPr>
        <w:t>zostają stosunkowo rozdzielone;</w:t>
      </w:r>
    </w:p>
    <w:p w:rsidR="00ED069A" w:rsidRPr="007D336D" w:rsidRDefault="00ED069A" w:rsidP="004066EE">
      <w:pPr>
        <w:pStyle w:val="Akapitzlist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7D336D">
        <w:rPr>
          <w:rFonts w:ascii="Times New Roman" w:hAnsi="Times New Roman"/>
          <w:sz w:val="24"/>
          <w:szCs w:val="24"/>
        </w:rPr>
        <w:t>zawsze ponosi powód.</w:t>
      </w:r>
    </w:p>
    <w:p w:rsidR="00ED069A" w:rsidRDefault="00ED069A" w:rsidP="00ED069A">
      <w:pPr>
        <w:spacing w:after="0" w:line="360" w:lineRule="auto"/>
        <w:contextualSpacing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D069A" w:rsidRPr="007D336D" w:rsidRDefault="00ED069A" w:rsidP="004066EE">
      <w:pPr>
        <w:pStyle w:val="Akapitzlist"/>
        <w:numPr>
          <w:ilvl w:val="0"/>
          <w:numId w:val="1"/>
        </w:num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7D336D">
        <w:rPr>
          <w:rFonts w:ascii="Times New Roman" w:hAnsi="Times New Roman"/>
          <w:b/>
          <w:bCs/>
          <w:sz w:val="24"/>
          <w:szCs w:val="24"/>
        </w:rPr>
        <w:t>Zgodnie z Kodeksem postępowania cywilnego, postanowienie w przedmiocie ustanowienia pełnomocnika z urzędu może być wydane:</w:t>
      </w:r>
    </w:p>
    <w:p w:rsidR="00ED069A" w:rsidRPr="007D336D" w:rsidRDefault="00ED069A" w:rsidP="004066EE">
      <w:pPr>
        <w:pStyle w:val="Akapitzlist"/>
        <w:numPr>
          <w:ilvl w:val="0"/>
          <w:numId w:val="16"/>
        </w:numPr>
        <w:spacing w:after="0" w:line="36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7D336D">
        <w:rPr>
          <w:rFonts w:ascii="Times New Roman" w:hAnsi="Times New Roman"/>
          <w:bCs/>
          <w:sz w:val="24"/>
          <w:szCs w:val="24"/>
        </w:rPr>
        <w:t>tylko na posiedzeniu niejawnym;</w:t>
      </w:r>
    </w:p>
    <w:p w:rsidR="00ED069A" w:rsidRPr="007D336D" w:rsidRDefault="00ED069A" w:rsidP="004066EE">
      <w:pPr>
        <w:pStyle w:val="Akapitzlist"/>
        <w:numPr>
          <w:ilvl w:val="0"/>
          <w:numId w:val="16"/>
        </w:numPr>
        <w:spacing w:after="0" w:line="36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7D336D">
        <w:rPr>
          <w:rFonts w:ascii="Times New Roman" w:hAnsi="Times New Roman"/>
          <w:bCs/>
          <w:sz w:val="24"/>
          <w:szCs w:val="24"/>
        </w:rPr>
        <w:t>tylko na rozprawie;</w:t>
      </w:r>
    </w:p>
    <w:p w:rsidR="00ED069A" w:rsidRPr="007D336D" w:rsidRDefault="00ED069A" w:rsidP="004066EE">
      <w:pPr>
        <w:pStyle w:val="Akapitzlist"/>
        <w:numPr>
          <w:ilvl w:val="0"/>
          <w:numId w:val="16"/>
        </w:numPr>
        <w:spacing w:after="0" w:line="36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7D336D">
        <w:rPr>
          <w:rFonts w:ascii="Times New Roman" w:hAnsi="Times New Roman"/>
          <w:bCs/>
          <w:sz w:val="24"/>
          <w:szCs w:val="24"/>
        </w:rPr>
        <w:t>na posiedzeniu niejawnym lub na rozprawie.</w:t>
      </w:r>
    </w:p>
    <w:p w:rsidR="00ED069A" w:rsidRDefault="00ED069A" w:rsidP="00ED069A">
      <w:pPr>
        <w:spacing w:after="0" w:line="360" w:lineRule="auto"/>
        <w:rPr>
          <w:rFonts w:ascii="Times New Roman" w:eastAsiaTheme="minorHAnsi" w:hAnsi="Times New Roman"/>
          <w:sz w:val="24"/>
          <w:szCs w:val="24"/>
        </w:rPr>
      </w:pPr>
    </w:p>
    <w:p w:rsidR="00ED069A" w:rsidRPr="007D336D" w:rsidRDefault="00ED069A" w:rsidP="004066EE">
      <w:pPr>
        <w:pStyle w:val="Akapitzlist"/>
        <w:numPr>
          <w:ilvl w:val="0"/>
          <w:numId w:val="1"/>
        </w:num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7D336D">
        <w:rPr>
          <w:rFonts w:ascii="Times New Roman" w:hAnsi="Times New Roman"/>
          <w:b/>
          <w:bCs/>
          <w:sz w:val="24"/>
          <w:szCs w:val="24"/>
        </w:rPr>
        <w:lastRenderedPageBreak/>
        <w:t>Zgodnie z Kodeksem postępowania cywilnego, ponowny wniosek o ustanowienie adwokata, oparty na tych samych okolicznościach:</w:t>
      </w:r>
    </w:p>
    <w:p w:rsidR="00ED069A" w:rsidRPr="007D336D" w:rsidRDefault="00ED069A" w:rsidP="004066EE">
      <w:pPr>
        <w:pStyle w:val="Akapitzlist"/>
        <w:numPr>
          <w:ilvl w:val="0"/>
          <w:numId w:val="17"/>
        </w:numPr>
        <w:spacing w:after="0" w:line="36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7D336D">
        <w:rPr>
          <w:rFonts w:ascii="Times New Roman" w:hAnsi="Times New Roman"/>
          <w:bCs/>
          <w:sz w:val="24"/>
          <w:szCs w:val="24"/>
        </w:rPr>
        <w:t>podlega zwrotowi;</w:t>
      </w:r>
    </w:p>
    <w:p w:rsidR="00ED069A" w:rsidRPr="007D336D" w:rsidRDefault="007D336D" w:rsidP="004066EE">
      <w:pPr>
        <w:pStyle w:val="Akapitzlist"/>
        <w:numPr>
          <w:ilvl w:val="0"/>
          <w:numId w:val="17"/>
        </w:numPr>
        <w:spacing w:after="0" w:line="36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7D336D">
        <w:rPr>
          <w:rFonts w:ascii="Times New Roman" w:hAnsi="Times New Roman"/>
          <w:bCs/>
          <w:sz w:val="24"/>
          <w:szCs w:val="24"/>
        </w:rPr>
        <w:t>j</w:t>
      </w:r>
      <w:r w:rsidR="00ED069A" w:rsidRPr="007D336D">
        <w:rPr>
          <w:rFonts w:ascii="Times New Roman" w:hAnsi="Times New Roman"/>
          <w:bCs/>
          <w:sz w:val="24"/>
          <w:szCs w:val="24"/>
        </w:rPr>
        <w:t>est niedopuszczalny i pozostawia się go w aktach sprawy</w:t>
      </w:r>
      <w:r w:rsidR="00B310FD">
        <w:rPr>
          <w:rFonts w:ascii="Times New Roman" w:hAnsi="Times New Roman"/>
          <w:bCs/>
          <w:sz w:val="24"/>
          <w:szCs w:val="24"/>
        </w:rPr>
        <w:t xml:space="preserve"> bez żadnych dalszych czynności;</w:t>
      </w:r>
    </w:p>
    <w:p w:rsidR="00ED069A" w:rsidRPr="007D336D" w:rsidRDefault="00ED069A" w:rsidP="004066EE">
      <w:pPr>
        <w:pStyle w:val="Akapitzlist"/>
        <w:numPr>
          <w:ilvl w:val="0"/>
          <w:numId w:val="17"/>
        </w:numPr>
        <w:spacing w:after="0" w:line="36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7D336D">
        <w:rPr>
          <w:rFonts w:ascii="Times New Roman" w:hAnsi="Times New Roman"/>
          <w:bCs/>
          <w:sz w:val="24"/>
          <w:szCs w:val="24"/>
        </w:rPr>
        <w:t>podlega odrzuceniu.</w:t>
      </w:r>
    </w:p>
    <w:p w:rsidR="00ED069A" w:rsidRDefault="00ED069A" w:rsidP="00ED069A">
      <w:pPr>
        <w:spacing w:after="0" w:line="360" w:lineRule="auto"/>
        <w:rPr>
          <w:rFonts w:ascii="Times New Roman" w:eastAsiaTheme="minorHAnsi" w:hAnsi="Times New Roman"/>
          <w:sz w:val="24"/>
          <w:szCs w:val="24"/>
        </w:rPr>
      </w:pPr>
    </w:p>
    <w:p w:rsidR="00ED069A" w:rsidRDefault="00ED069A" w:rsidP="004066EE">
      <w:pPr>
        <w:pStyle w:val="Default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Powołanymi do dziedziczenia z mocy ustawy po spadkodawcy, który nie pozostawił dzieci, są: </w:t>
      </w:r>
    </w:p>
    <w:p w:rsidR="00ED069A" w:rsidRPr="007D336D" w:rsidRDefault="00ED069A" w:rsidP="004066EE">
      <w:pPr>
        <w:pStyle w:val="Default"/>
        <w:numPr>
          <w:ilvl w:val="0"/>
          <w:numId w:val="18"/>
        </w:numPr>
        <w:spacing w:line="360" w:lineRule="auto"/>
      </w:pPr>
      <w:r w:rsidRPr="007D336D">
        <w:t xml:space="preserve">małżonek i rodzice spadkodawcy; </w:t>
      </w:r>
    </w:p>
    <w:p w:rsidR="00ED069A" w:rsidRDefault="00ED069A" w:rsidP="004066EE">
      <w:pPr>
        <w:pStyle w:val="Default"/>
        <w:numPr>
          <w:ilvl w:val="0"/>
          <w:numId w:val="18"/>
        </w:numPr>
        <w:spacing w:line="360" w:lineRule="auto"/>
      </w:pPr>
      <w:r>
        <w:t xml:space="preserve">małżonek, rodzice i rodzeństwo spadkodawcy; </w:t>
      </w:r>
    </w:p>
    <w:p w:rsidR="00ED069A" w:rsidRDefault="00ED069A" w:rsidP="004066EE">
      <w:pPr>
        <w:pStyle w:val="Default"/>
        <w:numPr>
          <w:ilvl w:val="0"/>
          <w:numId w:val="18"/>
        </w:numPr>
        <w:spacing w:line="360" w:lineRule="auto"/>
      </w:pPr>
      <w:r>
        <w:t xml:space="preserve">tylko małżonek spadkodawcy. </w:t>
      </w:r>
    </w:p>
    <w:p w:rsidR="00ED069A" w:rsidRDefault="00ED069A" w:rsidP="00ED069A">
      <w:pPr>
        <w:spacing w:after="0" w:line="360" w:lineRule="auto"/>
        <w:contextualSpacing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D069A" w:rsidRPr="007D336D" w:rsidRDefault="00ED069A" w:rsidP="004066EE">
      <w:pPr>
        <w:pStyle w:val="Akapitzlist"/>
        <w:numPr>
          <w:ilvl w:val="0"/>
          <w:numId w:val="1"/>
        </w:num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7D336D">
        <w:rPr>
          <w:rFonts w:ascii="Times New Roman" w:hAnsi="Times New Roman"/>
          <w:b/>
          <w:bCs/>
          <w:sz w:val="24"/>
          <w:szCs w:val="24"/>
        </w:rPr>
        <w:t>Zgodnie z Kodeksem postępowania cywilnego, pozwany, przeciwko któremu zapadł wyrok zaoczny, może złożyć w ciągu dwóch tygodni od doręczenia mu wyroku:</w:t>
      </w:r>
    </w:p>
    <w:p w:rsidR="00ED069A" w:rsidRPr="007D336D" w:rsidRDefault="00ED069A" w:rsidP="004066EE">
      <w:pPr>
        <w:pStyle w:val="Akapitzlist"/>
        <w:numPr>
          <w:ilvl w:val="0"/>
          <w:numId w:val="19"/>
        </w:numPr>
        <w:spacing w:after="0" w:line="36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7D336D">
        <w:rPr>
          <w:rFonts w:ascii="Times New Roman" w:hAnsi="Times New Roman"/>
          <w:bCs/>
          <w:sz w:val="24"/>
          <w:szCs w:val="24"/>
        </w:rPr>
        <w:t>zarzuty;</w:t>
      </w:r>
    </w:p>
    <w:p w:rsidR="00ED069A" w:rsidRPr="007D336D" w:rsidRDefault="00ED069A" w:rsidP="004066EE">
      <w:pPr>
        <w:pStyle w:val="Akapitzlist"/>
        <w:numPr>
          <w:ilvl w:val="0"/>
          <w:numId w:val="19"/>
        </w:numPr>
        <w:spacing w:after="0" w:line="36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7D336D">
        <w:rPr>
          <w:rFonts w:ascii="Times New Roman" w:hAnsi="Times New Roman"/>
          <w:bCs/>
          <w:sz w:val="24"/>
          <w:szCs w:val="24"/>
        </w:rPr>
        <w:t>apelację;</w:t>
      </w:r>
    </w:p>
    <w:p w:rsidR="00ED069A" w:rsidRPr="007D336D" w:rsidRDefault="00ED069A" w:rsidP="004066EE">
      <w:pPr>
        <w:pStyle w:val="Akapitzlist"/>
        <w:numPr>
          <w:ilvl w:val="0"/>
          <w:numId w:val="19"/>
        </w:numPr>
        <w:spacing w:after="0" w:line="36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7D336D">
        <w:rPr>
          <w:rFonts w:ascii="Times New Roman" w:hAnsi="Times New Roman"/>
          <w:bCs/>
          <w:sz w:val="24"/>
          <w:szCs w:val="24"/>
        </w:rPr>
        <w:t>sprzeciw.</w:t>
      </w:r>
    </w:p>
    <w:p w:rsidR="00ED069A" w:rsidRDefault="00ED069A" w:rsidP="00ED069A">
      <w:pPr>
        <w:spacing w:after="0" w:line="360" w:lineRule="auto"/>
        <w:rPr>
          <w:rFonts w:ascii="Times New Roman" w:eastAsiaTheme="minorHAnsi" w:hAnsi="Times New Roman"/>
          <w:sz w:val="24"/>
          <w:szCs w:val="24"/>
        </w:rPr>
      </w:pPr>
    </w:p>
    <w:p w:rsidR="00ED069A" w:rsidRDefault="00ED069A" w:rsidP="00ED069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D069A" w:rsidRDefault="00ED069A" w:rsidP="00ED069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D069A" w:rsidRDefault="00ED069A" w:rsidP="00ED069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ED069A" w:rsidRDefault="00ED069A" w:rsidP="00ED069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A76927" w:rsidRDefault="00A76927" w:rsidP="00ED069A">
      <w:pPr>
        <w:tabs>
          <w:tab w:val="left" w:pos="-142"/>
        </w:tabs>
        <w:spacing w:after="0" w:line="240" w:lineRule="auto"/>
        <w:ind w:right="-828"/>
        <w:jc w:val="both"/>
      </w:pPr>
    </w:p>
    <w:sectPr w:rsidR="00A76927" w:rsidSect="00723C5E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6E8" w:rsidRDefault="00C906E8" w:rsidP="00723C5E">
      <w:pPr>
        <w:spacing w:after="0" w:line="240" w:lineRule="auto"/>
      </w:pPr>
      <w:r>
        <w:separator/>
      </w:r>
    </w:p>
  </w:endnote>
  <w:endnote w:type="continuationSeparator" w:id="0">
    <w:p w:rsidR="00C906E8" w:rsidRDefault="00C906E8" w:rsidP="00723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2698655"/>
      <w:docPartObj>
        <w:docPartGallery w:val="Page Numbers (Bottom of Page)"/>
        <w:docPartUnique/>
      </w:docPartObj>
    </w:sdtPr>
    <w:sdtEndPr/>
    <w:sdtContent>
      <w:p w:rsidR="00723C5E" w:rsidRDefault="00723C5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F74">
          <w:rPr>
            <w:noProof/>
          </w:rPr>
          <w:t>4</w:t>
        </w:r>
        <w:r>
          <w:fldChar w:fldCharType="end"/>
        </w:r>
      </w:p>
    </w:sdtContent>
  </w:sdt>
  <w:p w:rsidR="00723C5E" w:rsidRDefault="00723C5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6E8" w:rsidRDefault="00C906E8" w:rsidP="00723C5E">
      <w:pPr>
        <w:spacing w:after="0" w:line="240" w:lineRule="auto"/>
      </w:pPr>
      <w:r>
        <w:separator/>
      </w:r>
    </w:p>
  </w:footnote>
  <w:footnote w:type="continuationSeparator" w:id="0">
    <w:p w:rsidR="00C906E8" w:rsidRDefault="00C906E8" w:rsidP="00723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F5291"/>
    <w:multiLevelType w:val="hybridMultilevel"/>
    <w:tmpl w:val="EB54990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9FE11DF"/>
    <w:multiLevelType w:val="hybridMultilevel"/>
    <w:tmpl w:val="FC4801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667F9"/>
    <w:multiLevelType w:val="hybridMultilevel"/>
    <w:tmpl w:val="17F200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B5805"/>
    <w:multiLevelType w:val="hybridMultilevel"/>
    <w:tmpl w:val="EAFEBE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B6CFD"/>
    <w:multiLevelType w:val="hybridMultilevel"/>
    <w:tmpl w:val="7E6EDB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B072BC"/>
    <w:multiLevelType w:val="hybridMultilevel"/>
    <w:tmpl w:val="642434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D1527"/>
    <w:multiLevelType w:val="hybridMultilevel"/>
    <w:tmpl w:val="BCCEE5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22538"/>
    <w:multiLevelType w:val="hybridMultilevel"/>
    <w:tmpl w:val="76AE93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21A89"/>
    <w:multiLevelType w:val="hybridMultilevel"/>
    <w:tmpl w:val="D78CB5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84EBC"/>
    <w:multiLevelType w:val="hybridMultilevel"/>
    <w:tmpl w:val="5590D6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E3FAA"/>
    <w:multiLevelType w:val="hybridMultilevel"/>
    <w:tmpl w:val="682A9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45E60"/>
    <w:multiLevelType w:val="hybridMultilevel"/>
    <w:tmpl w:val="F71EC3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6180E"/>
    <w:multiLevelType w:val="hybridMultilevel"/>
    <w:tmpl w:val="F5100C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51895"/>
    <w:multiLevelType w:val="hybridMultilevel"/>
    <w:tmpl w:val="3CBA1B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2562A4"/>
    <w:multiLevelType w:val="hybridMultilevel"/>
    <w:tmpl w:val="E800D104"/>
    <w:lvl w:ilvl="0" w:tplc="BD502406">
      <w:start w:val="1"/>
      <w:numFmt w:val="decimal"/>
      <w:lvlText w:val="%1."/>
      <w:lvlJc w:val="righ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2AF7B61"/>
    <w:multiLevelType w:val="hybridMultilevel"/>
    <w:tmpl w:val="07A464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161AAB"/>
    <w:multiLevelType w:val="hybridMultilevel"/>
    <w:tmpl w:val="121C21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C74DF"/>
    <w:multiLevelType w:val="hybridMultilevel"/>
    <w:tmpl w:val="50E021D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F63462B"/>
    <w:multiLevelType w:val="hybridMultilevel"/>
    <w:tmpl w:val="862CD7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5"/>
  </w:num>
  <w:num w:numId="4">
    <w:abstractNumId w:val="6"/>
  </w:num>
  <w:num w:numId="5">
    <w:abstractNumId w:val="12"/>
  </w:num>
  <w:num w:numId="6">
    <w:abstractNumId w:val="4"/>
  </w:num>
  <w:num w:numId="7">
    <w:abstractNumId w:val="10"/>
  </w:num>
  <w:num w:numId="8">
    <w:abstractNumId w:val="7"/>
  </w:num>
  <w:num w:numId="9">
    <w:abstractNumId w:val="2"/>
  </w:num>
  <w:num w:numId="10">
    <w:abstractNumId w:val="16"/>
  </w:num>
  <w:num w:numId="11">
    <w:abstractNumId w:val="1"/>
  </w:num>
  <w:num w:numId="12">
    <w:abstractNumId w:val="18"/>
  </w:num>
  <w:num w:numId="13">
    <w:abstractNumId w:val="9"/>
  </w:num>
  <w:num w:numId="14">
    <w:abstractNumId w:val="11"/>
  </w:num>
  <w:num w:numId="15">
    <w:abstractNumId w:val="8"/>
  </w:num>
  <w:num w:numId="16">
    <w:abstractNumId w:val="5"/>
  </w:num>
  <w:num w:numId="17">
    <w:abstractNumId w:val="17"/>
  </w:num>
  <w:num w:numId="18">
    <w:abstractNumId w:val="3"/>
  </w:num>
  <w:num w:numId="19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A27"/>
    <w:rsid w:val="000137A4"/>
    <w:rsid w:val="00040B21"/>
    <w:rsid w:val="00063F74"/>
    <w:rsid w:val="000A0730"/>
    <w:rsid w:val="000F1409"/>
    <w:rsid w:val="002D52F7"/>
    <w:rsid w:val="003D3755"/>
    <w:rsid w:val="004066EE"/>
    <w:rsid w:val="00495E47"/>
    <w:rsid w:val="00526754"/>
    <w:rsid w:val="005E29CE"/>
    <w:rsid w:val="005F6A63"/>
    <w:rsid w:val="006B56D8"/>
    <w:rsid w:val="00723C5E"/>
    <w:rsid w:val="007C2ED3"/>
    <w:rsid w:val="007D336D"/>
    <w:rsid w:val="007E105C"/>
    <w:rsid w:val="0082016A"/>
    <w:rsid w:val="00830233"/>
    <w:rsid w:val="00837B83"/>
    <w:rsid w:val="008E0E4B"/>
    <w:rsid w:val="009574EB"/>
    <w:rsid w:val="009B2653"/>
    <w:rsid w:val="00A76927"/>
    <w:rsid w:val="00A815DB"/>
    <w:rsid w:val="00A95651"/>
    <w:rsid w:val="00AE673D"/>
    <w:rsid w:val="00B310FD"/>
    <w:rsid w:val="00B9515C"/>
    <w:rsid w:val="00C45CF1"/>
    <w:rsid w:val="00C906E8"/>
    <w:rsid w:val="00EB27A1"/>
    <w:rsid w:val="00EB6A27"/>
    <w:rsid w:val="00ED069A"/>
    <w:rsid w:val="00EE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7E91D-7954-4358-A4F8-7CEA5EEF2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6A2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uiPriority w:val="19"/>
    <w:qFormat/>
    <w:rsid w:val="00EB6A27"/>
    <w:rPr>
      <w:i/>
      <w:iCs/>
      <w:color w:val="808080"/>
    </w:rPr>
  </w:style>
  <w:style w:type="paragraph" w:styleId="Akapitzlist">
    <w:name w:val="List Paragraph"/>
    <w:basedOn w:val="Normalny"/>
    <w:uiPriority w:val="34"/>
    <w:qFormat/>
    <w:rsid w:val="00EB6A27"/>
    <w:pPr>
      <w:ind w:left="720"/>
      <w:contextualSpacing/>
    </w:pPr>
  </w:style>
  <w:style w:type="paragraph" w:styleId="Bezodstpw">
    <w:name w:val="No Spacing"/>
    <w:uiPriority w:val="1"/>
    <w:qFormat/>
    <w:rsid w:val="005E29CE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723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3C5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23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3C5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1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15DB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ED06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669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Hałka</dc:creator>
  <cp:keywords/>
  <dc:description/>
  <cp:lastModifiedBy>Lucyna Waligóra</cp:lastModifiedBy>
  <cp:revision>9</cp:revision>
  <cp:lastPrinted>2021-05-18T11:35:00Z</cp:lastPrinted>
  <dcterms:created xsi:type="dcterms:W3CDTF">2021-05-18T11:09:00Z</dcterms:created>
  <dcterms:modified xsi:type="dcterms:W3CDTF">2021-05-18T12:07:00Z</dcterms:modified>
</cp:coreProperties>
</file>