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70F" w:rsidRDefault="00FC604D" w:rsidP="00EF070F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Leszno, dnia 11 grudnia </w:t>
      </w:r>
      <w:r w:rsidR="00EF070F">
        <w:rPr>
          <w:rFonts w:eastAsia="Times New Roman" w:cs="Times New Roman"/>
          <w:szCs w:val="24"/>
          <w:lang w:eastAsia="pl-PL"/>
        </w:rPr>
        <w:t>2024r.</w:t>
      </w:r>
    </w:p>
    <w:p w:rsidR="00EF070F" w:rsidRDefault="00EF070F" w:rsidP="00EF070F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</w:t>
      </w:r>
    </w:p>
    <w:p w:rsidR="00EF070F" w:rsidRDefault="00EF070F" w:rsidP="00EF070F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EF070F" w:rsidRPr="00A25EB8" w:rsidRDefault="00EF070F" w:rsidP="00EF070F">
      <w:pPr>
        <w:spacing w:after="0" w:line="276" w:lineRule="auto"/>
        <w:jc w:val="center"/>
        <w:rPr>
          <w:rFonts w:cs="Times New Roman"/>
          <w:b/>
          <w:sz w:val="22"/>
        </w:rPr>
      </w:pPr>
      <w:r w:rsidRPr="00A25EB8">
        <w:rPr>
          <w:rFonts w:cs="Times New Roman"/>
          <w:b/>
          <w:sz w:val="22"/>
        </w:rPr>
        <w:t>KONKURS NA ST</w:t>
      </w:r>
      <w:r w:rsidR="00FC604D">
        <w:rPr>
          <w:rFonts w:cs="Times New Roman"/>
          <w:b/>
          <w:sz w:val="22"/>
        </w:rPr>
        <w:t>ANOWISKO ASYSTENTA SĘDZIEGO NR 3</w:t>
      </w:r>
      <w:bookmarkStart w:id="0" w:name="_GoBack"/>
      <w:bookmarkEnd w:id="0"/>
      <w:r w:rsidRPr="00A25EB8">
        <w:rPr>
          <w:rFonts w:cs="Times New Roman"/>
          <w:b/>
          <w:sz w:val="22"/>
        </w:rPr>
        <w:t>/2024</w:t>
      </w:r>
    </w:p>
    <w:p w:rsidR="00EF070F" w:rsidRPr="00A25EB8" w:rsidRDefault="00EF070F" w:rsidP="00EF070F">
      <w:pPr>
        <w:spacing w:after="0" w:line="276" w:lineRule="auto"/>
        <w:jc w:val="center"/>
        <w:rPr>
          <w:rFonts w:cs="Times New Roman"/>
          <w:b/>
          <w:sz w:val="22"/>
        </w:rPr>
      </w:pPr>
      <w:r w:rsidRPr="00A25EB8">
        <w:rPr>
          <w:rFonts w:cs="Times New Roman"/>
          <w:b/>
          <w:sz w:val="22"/>
        </w:rPr>
        <w:t>II ETAP KONKURSU</w:t>
      </w:r>
    </w:p>
    <w:p w:rsidR="00EF070F" w:rsidRDefault="00EF070F" w:rsidP="00EF070F">
      <w:pPr>
        <w:spacing w:after="0" w:line="24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</w:p>
    <w:p w:rsidR="00EF070F" w:rsidRPr="00203084" w:rsidRDefault="00EF070F" w:rsidP="00EF070F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203084">
        <w:rPr>
          <w:rFonts w:eastAsia="Times New Roman" w:cs="Times New Roman"/>
          <w:b/>
          <w:szCs w:val="24"/>
          <w:lang w:eastAsia="pl-PL"/>
        </w:rPr>
        <w:t>TEST -</w:t>
      </w:r>
      <w:r w:rsidRPr="00203084">
        <w:rPr>
          <w:rFonts w:eastAsia="Times New Roman" w:cs="Times New Roman"/>
          <w:b/>
          <w:bCs/>
          <w:szCs w:val="24"/>
          <w:lang w:eastAsia="pl-PL"/>
        </w:rPr>
        <w:t xml:space="preserve"> blok karny</w:t>
      </w:r>
    </w:p>
    <w:p w:rsidR="00EF070F" w:rsidRDefault="00EF070F" w:rsidP="00EF070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EF070F" w:rsidRDefault="00EF070F" w:rsidP="00EF070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komisja przyznaje 1 punkt. W przypadku dokonania przez kandydata zmian zakreślonych</w:t>
      </w:r>
    </w:p>
    <w:p w:rsidR="00EF070F" w:rsidRDefault="00EF070F" w:rsidP="00EF070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odpowiedzi za dane zadanie testowe komisja przyznaje 0 punktów.</w:t>
      </w:r>
    </w:p>
    <w:p w:rsidR="00EF070F" w:rsidRDefault="00EF070F" w:rsidP="00EF070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EF070F" w:rsidRDefault="00EF070F" w:rsidP="00EF070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EF070F" w:rsidRDefault="00EF070F" w:rsidP="00EF070F">
      <w:pPr>
        <w:spacing w:after="0" w:line="276" w:lineRule="auto"/>
        <w:rPr>
          <w:b/>
        </w:rPr>
      </w:pPr>
      <w:r w:rsidRPr="003B5E30">
        <w:rPr>
          <w:b/>
        </w:rPr>
        <w:t>Imię i nazwisko kandydata - ..................................................................................</w:t>
      </w:r>
      <w:r>
        <w:rPr>
          <w:b/>
        </w:rPr>
        <w:t>...................</w:t>
      </w:r>
    </w:p>
    <w:p w:rsidR="00A878BE" w:rsidRDefault="00A878BE" w:rsidP="00A878BE">
      <w:pPr>
        <w:spacing w:after="0" w:line="276" w:lineRule="auto"/>
        <w:jc w:val="both"/>
        <w:rPr>
          <w:rFonts w:cs="Times New Roman"/>
          <w:szCs w:val="24"/>
        </w:rPr>
      </w:pPr>
    </w:p>
    <w:p w:rsidR="00EF070F" w:rsidRDefault="00EF070F" w:rsidP="00A878BE">
      <w:pPr>
        <w:spacing w:after="0" w:line="276" w:lineRule="auto"/>
        <w:jc w:val="both"/>
        <w:rPr>
          <w:rFonts w:cs="Times New Roman"/>
          <w:szCs w:val="24"/>
        </w:rPr>
      </w:pPr>
    </w:p>
    <w:p w:rsidR="00EF070F" w:rsidRDefault="00EF070F" w:rsidP="00A878BE">
      <w:pPr>
        <w:spacing w:after="0" w:line="276" w:lineRule="auto"/>
        <w:jc w:val="both"/>
        <w:rPr>
          <w:rFonts w:cs="Times New Roman"/>
          <w:szCs w:val="24"/>
        </w:rPr>
      </w:pPr>
    </w:p>
    <w:p w:rsidR="00EF070F" w:rsidRPr="00A878BE" w:rsidRDefault="00EF070F" w:rsidP="00A878BE">
      <w:pPr>
        <w:spacing w:after="0" w:line="276" w:lineRule="auto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Zgodnie z Kodeksem karnym jeżeli w czasie popełnienia przestępstwa zdolność rozpoznania znaczenia czynu lub kierowania postępowaniem była w znacznym stopniu ograniczona, sąd:</w:t>
      </w:r>
    </w:p>
    <w:p w:rsidR="00A878BE" w:rsidRPr="00A878BE" w:rsidRDefault="00A878BE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spacing w:line="360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może zastosować nadzwyczajne złagodzenie kary</w:t>
      </w:r>
    </w:p>
    <w:p w:rsidR="00A878BE" w:rsidRPr="00A878BE" w:rsidRDefault="00A878BE" w:rsidP="00A878BE">
      <w:pPr>
        <w:pStyle w:val="Akapitzlist"/>
        <w:numPr>
          <w:ilvl w:val="1"/>
          <w:numId w:val="1"/>
        </w:numPr>
        <w:spacing w:line="360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ma obowiązek zastosować nadzwyczajne złagodzenie kary</w:t>
      </w:r>
    </w:p>
    <w:p w:rsidR="00A878BE" w:rsidRPr="00A878BE" w:rsidRDefault="00A878BE" w:rsidP="00A878BE">
      <w:pPr>
        <w:pStyle w:val="Akapitzlist"/>
        <w:numPr>
          <w:ilvl w:val="1"/>
          <w:numId w:val="1"/>
        </w:numPr>
        <w:spacing w:line="360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może zastosować nadzwyczajne złagodzenie kary poprzez umorzenie  postepowania </w:t>
      </w:r>
    </w:p>
    <w:p w:rsidR="00A878BE" w:rsidRPr="00A878BE" w:rsidRDefault="00A878BE" w:rsidP="00A878BE">
      <w:pPr>
        <w:spacing w:after="0" w:line="276" w:lineRule="auto"/>
        <w:ind w:left="1494"/>
        <w:contextualSpacing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Zgodnie z Kodeksem karnym jeżeli sprawca popełnił dwa lub więcej przestępstw, zanim zapadł pierwszy wyrok, chociażby nieprawomocny, co do któregokolwiek z tych przestępstw i wymierzono za nie kary tego samego rodzaju albo inne podlegające łączeniu, sąd:</w:t>
      </w:r>
    </w:p>
    <w:p w:rsidR="00A878BE" w:rsidRPr="00A878BE" w:rsidRDefault="00A878BE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orzeka karę łączną, biorąc za podstawę </w:t>
      </w:r>
      <w:r w:rsidRPr="00A878BE">
        <w:t>kary lub kary łączne za przestępstwa</w:t>
      </w:r>
    </w:p>
    <w:p w:rsidR="00A878BE" w:rsidRPr="00A878BE" w:rsidRDefault="00A878BE" w:rsidP="00A878BE">
      <w:pPr>
        <w:pStyle w:val="Akapitzlist"/>
        <w:spacing w:after="0" w:line="276" w:lineRule="auto"/>
        <w:ind w:left="149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</w:pPr>
      <w:r w:rsidRPr="00A878BE">
        <w:rPr>
          <w:rFonts w:cs="Times New Roman"/>
          <w:szCs w:val="24"/>
        </w:rPr>
        <w:t xml:space="preserve">orzeka karę łączną, biorąc za podstawę podlegające wykonaniu </w:t>
      </w:r>
      <w:r w:rsidRPr="00A878BE">
        <w:t>kary lub kary łączne z osobna wymierzone za zbiegające się przestępstwa</w:t>
      </w:r>
    </w:p>
    <w:p w:rsidR="00A878BE" w:rsidRPr="00A878BE" w:rsidRDefault="00A878BE" w:rsidP="00A878BE">
      <w:pPr>
        <w:pStyle w:val="Akapitzlist"/>
        <w:rPr>
          <w:rFonts w:cs="Times New Roman"/>
          <w:szCs w:val="24"/>
        </w:rPr>
      </w:pPr>
    </w:p>
    <w:p w:rsidR="00A878BE" w:rsidRPr="00A878BE" w:rsidRDefault="00A878BE" w:rsidP="00A878BE">
      <w:pPr>
        <w:numPr>
          <w:ilvl w:val="1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orzeka karę łączną, biorąc za podstawę kary z osobna wymierzone za zbiegające się przestępstwa</w:t>
      </w:r>
    </w:p>
    <w:p w:rsidR="00A878BE" w:rsidRPr="00A878BE" w:rsidRDefault="00A878BE" w:rsidP="00A878BE">
      <w:pPr>
        <w:spacing w:after="0" w:line="276" w:lineRule="auto"/>
        <w:ind w:left="1494"/>
        <w:contextualSpacing/>
        <w:jc w:val="both"/>
        <w:rPr>
          <w:rFonts w:cs="Times New Roman"/>
          <w:szCs w:val="24"/>
          <w:highlight w:val="yellow"/>
        </w:rPr>
      </w:pPr>
    </w:p>
    <w:p w:rsidR="00A878BE" w:rsidRDefault="00A878BE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 </w:t>
      </w:r>
    </w:p>
    <w:p w:rsidR="00EF070F" w:rsidRDefault="00EF070F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</w:p>
    <w:p w:rsidR="00EF070F" w:rsidRPr="00A878BE" w:rsidRDefault="00EF070F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numPr>
          <w:ilvl w:val="0"/>
          <w:numId w:val="1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lastRenderedPageBreak/>
        <w:t xml:space="preserve">Zgodnie z Kodeksem karnym jeżeli sprawca został skazany dwoma lub więcej wyrokami za przestępstwa należące do ciągu przestępstw określonego w art. 91§ 1 kk, orzeczona kara łączna </w:t>
      </w:r>
    </w:p>
    <w:p w:rsidR="00A878BE" w:rsidRPr="00A878BE" w:rsidRDefault="00A878BE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nie może przekroczyć górnej granicy ustawowego zagrożenia zwiększonego o połowę, przewidzianego w przepisie stanowiącym podstawę wymiaru kary dla każdego z tych przestępstw:</w:t>
      </w:r>
    </w:p>
    <w:p w:rsidR="00A878BE" w:rsidRPr="00A878BE" w:rsidRDefault="00A878BE" w:rsidP="00A878BE">
      <w:pPr>
        <w:pStyle w:val="Akapitzlist"/>
        <w:ind w:left="1494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nie może przekroczyć sumy kar wymierzonych za poszczególne przestępstwa określone w art. 91§ 1 kk</w:t>
      </w:r>
    </w:p>
    <w:p w:rsidR="00A878BE" w:rsidRPr="00A878BE" w:rsidRDefault="00A878BE" w:rsidP="00A878BE">
      <w:pPr>
        <w:pStyle w:val="Akapitzlist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nie może przekroczyć nie może przekroczyć sumy kar wymierzonych za poszczególne przestępstwa określone w art. 91§ 1 kk zwiększonej o połowę</w:t>
      </w:r>
    </w:p>
    <w:p w:rsidR="00A878BE" w:rsidRPr="00A878BE" w:rsidRDefault="00A878BE" w:rsidP="00A878BE">
      <w:pPr>
        <w:ind w:left="850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1"/>
        </w:numPr>
        <w:spacing w:after="0" w:line="276" w:lineRule="auto"/>
        <w:ind w:left="850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Zgodnie z Kodeksem karnym w razie zarządzenia wykonania kary grzywna orzeczona na podstawie art. 71 § 1 kk:</w:t>
      </w:r>
    </w:p>
    <w:p w:rsidR="00A878BE" w:rsidRPr="00A878BE" w:rsidRDefault="00A878BE" w:rsidP="00A878BE">
      <w:pPr>
        <w:spacing w:after="0" w:line="276" w:lineRule="auto"/>
        <w:ind w:left="850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nie podlega wykonaniu, a zarządzona kara pozbawienia wolności ulega skróceniu o okres odpowiadający połowie liczby uiszczonych stawek dziennych grzywny z zaokrągleniem w górę do pełnego dnia</w:t>
      </w:r>
    </w:p>
    <w:p w:rsidR="00A878BE" w:rsidRPr="00A878BE" w:rsidRDefault="00A878BE" w:rsidP="00A878BE">
      <w:pPr>
        <w:pStyle w:val="Akapitzlist"/>
        <w:spacing w:after="0" w:line="276" w:lineRule="auto"/>
        <w:ind w:left="185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podlega wykonaniu, a zarządzona kara pozbawienia wolności nie ulega skróceniu </w:t>
      </w:r>
    </w:p>
    <w:p w:rsidR="00A878BE" w:rsidRPr="00A878BE" w:rsidRDefault="00A878BE" w:rsidP="00A878BE">
      <w:pPr>
        <w:pStyle w:val="Akapitzlist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spacing w:after="0" w:line="276" w:lineRule="auto"/>
        <w:ind w:left="185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nie podlega wykonaniu, a zarządzona kara pozbawienia wolności ulega skróceniu o okres odpowiadający liczbie uiszczonych stawek dziennych grzywny z zaokrągleniem w górę do pełnego dnia</w:t>
      </w:r>
    </w:p>
    <w:p w:rsidR="00A878BE" w:rsidRPr="00A878BE" w:rsidRDefault="00A878BE" w:rsidP="00A878BE">
      <w:pPr>
        <w:spacing w:after="0" w:line="276" w:lineRule="auto"/>
        <w:ind w:left="1494"/>
        <w:contextualSpacing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pStyle w:val="Akapitzlist"/>
        <w:numPr>
          <w:ilvl w:val="0"/>
          <w:numId w:val="1"/>
        </w:numPr>
        <w:spacing w:after="0" w:line="276" w:lineRule="auto"/>
        <w:ind w:left="850" w:right="57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Zgodnie z Kodeksem karnym sąd może wymierzyć grzywnę także obok kary pozbawienia wolności:</w:t>
      </w:r>
    </w:p>
    <w:p w:rsidR="00A878BE" w:rsidRPr="00A878BE" w:rsidRDefault="00A878BE" w:rsidP="00A878BE">
      <w:pPr>
        <w:ind w:left="1494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jedynie jeżeli sprawca dopuścił się czynu w celu osiągnięcia korzyści majątkowej </w:t>
      </w:r>
    </w:p>
    <w:p w:rsidR="00A878BE" w:rsidRPr="00A878BE" w:rsidRDefault="00A878BE" w:rsidP="00A878BE">
      <w:pPr>
        <w:pStyle w:val="Akapitzlist"/>
        <w:spacing w:after="0" w:line="276" w:lineRule="auto"/>
        <w:ind w:left="149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jeżeli sprawca dopuścił się czynu w celu osiągnięcia korzyści majątkowej lub gdy korzyść majątkową osiągnął </w:t>
      </w:r>
    </w:p>
    <w:p w:rsidR="00A878BE" w:rsidRPr="00A878BE" w:rsidRDefault="00A878BE" w:rsidP="00A878BE">
      <w:pPr>
        <w:pStyle w:val="Akapitzlist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1"/>
        </w:numPr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jedynie jeżeli sprawca dopuścił się czynu w celu osiągnięcia korzyści majątkowej dla siebie lub gdy taką korzyść majątkową dla siebie osiągnął</w:t>
      </w:r>
    </w:p>
    <w:p w:rsidR="00A878BE" w:rsidRPr="00A878BE" w:rsidRDefault="00A878BE" w:rsidP="00A878BE">
      <w:pPr>
        <w:pStyle w:val="Akapitzlist"/>
        <w:ind w:left="149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spacing w:after="0" w:line="276" w:lineRule="auto"/>
        <w:ind w:left="510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spacing w:after="0" w:line="276" w:lineRule="auto"/>
        <w:ind w:left="567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b/>
          <w:szCs w:val="24"/>
        </w:rPr>
        <w:lastRenderedPageBreak/>
        <w:t>6</w:t>
      </w:r>
      <w:r w:rsidRPr="00A878BE">
        <w:rPr>
          <w:rFonts w:cs="Times New Roman"/>
          <w:szCs w:val="24"/>
        </w:rPr>
        <w:t>. Zgodnie z Kodeksem karnym środek zabezpieczający w postaci pobytu w zakładzie psychiatrycznym, o którym mowa w art. 93a § 1 pkt 4 kk, można orzec jedynie:</w:t>
      </w:r>
    </w:p>
    <w:p w:rsidR="00A878BE" w:rsidRPr="00A878BE" w:rsidRDefault="00A878BE" w:rsidP="00A878BE">
      <w:pPr>
        <w:spacing w:after="0" w:line="276" w:lineRule="auto"/>
        <w:ind w:left="510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4"/>
        </w:numPr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aby zapobiec ponownemu popełnieniu przez sprawcę czynu zabronionego </w:t>
      </w:r>
    </w:p>
    <w:p w:rsidR="00A878BE" w:rsidRPr="00A878BE" w:rsidRDefault="00A878BE" w:rsidP="00A878BE">
      <w:pPr>
        <w:pStyle w:val="Akapitzlist"/>
        <w:ind w:left="1494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4"/>
        </w:numPr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aby zapobiec ponownemu popełnieniu przez sprawcę czynu zabronionego o znacznej społecznej szkodliwości</w:t>
      </w:r>
    </w:p>
    <w:p w:rsidR="00A878BE" w:rsidRPr="00A878BE" w:rsidRDefault="00A878BE" w:rsidP="00A878BE">
      <w:pPr>
        <w:pStyle w:val="Akapitzlist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aby zapobiec ponownemu popełnieniu przez sprawcę czynu zabronionego z zamiarem bezpośrednim </w:t>
      </w:r>
    </w:p>
    <w:p w:rsidR="00A878BE" w:rsidRPr="00A878BE" w:rsidRDefault="00A878BE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pStyle w:val="Akapitzlist"/>
        <w:numPr>
          <w:ilvl w:val="0"/>
          <w:numId w:val="9"/>
        </w:numPr>
        <w:spacing w:after="0" w:line="360" w:lineRule="auto"/>
        <w:ind w:left="870"/>
        <w:jc w:val="both"/>
        <w:outlineLvl w:val="0"/>
        <w:rPr>
          <w:rFonts w:eastAsia="Calibri" w:cs="Times New Roman"/>
          <w:bCs/>
          <w:szCs w:val="24"/>
        </w:rPr>
      </w:pPr>
      <w:r w:rsidRPr="00A878BE">
        <w:rPr>
          <w:rFonts w:cs="Times New Roman"/>
          <w:szCs w:val="24"/>
        </w:rPr>
        <w:t>Zgodnie z Kodeksem nie podlega zatarciu skazanie na karę pozbawienia wolności bez warunkowego zawieszenia jej wykonania:</w:t>
      </w:r>
    </w:p>
    <w:p w:rsidR="00A878BE" w:rsidRPr="00A878BE" w:rsidRDefault="00A878BE" w:rsidP="00A878BE">
      <w:pPr>
        <w:pStyle w:val="Akapitzlist"/>
        <w:spacing w:after="0" w:line="360" w:lineRule="auto"/>
        <w:jc w:val="both"/>
        <w:outlineLvl w:val="0"/>
        <w:rPr>
          <w:rFonts w:eastAsia="Calibri"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2"/>
          <w:numId w:val="1"/>
        </w:numPr>
        <w:spacing w:after="0" w:line="360" w:lineRule="auto"/>
        <w:ind w:left="1361"/>
        <w:jc w:val="both"/>
        <w:outlineLvl w:val="0"/>
        <w:rPr>
          <w:rFonts w:eastAsia="Calibri" w:cs="Times New Roman"/>
          <w:bCs/>
          <w:szCs w:val="24"/>
        </w:rPr>
      </w:pPr>
      <w:r w:rsidRPr="00A878BE">
        <w:rPr>
          <w:rFonts w:eastAsia="Calibri" w:cs="Times New Roman"/>
          <w:bCs/>
          <w:szCs w:val="24"/>
        </w:rPr>
        <w:t>za przestępstwo, jeżeli pokrzywdzony był małoletnim poniżej lat 15</w:t>
      </w:r>
    </w:p>
    <w:p w:rsidR="00A878BE" w:rsidRPr="00A878BE" w:rsidRDefault="00A878BE" w:rsidP="00A878BE">
      <w:pPr>
        <w:pStyle w:val="Akapitzlist"/>
        <w:spacing w:after="0" w:line="360" w:lineRule="auto"/>
        <w:ind w:left="1361"/>
        <w:jc w:val="both"/>
        <w:outlineLvl w:val="0"/>
        <w:rPr>
          <w:rFonts w:eastAsia="Calibri"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2"/>
          <w:numId w:val="1"/>
        </w:numPr>
        <w:spacing w:after="0" w:line="276" w:lineRule="auto"/>
        <w:ind w:left="1361"/>
        <w:jc w:val="both"/>
        <w:outlineLvl w:val="0"/>
        <w:rPr>
          <w:rFonts w:eastAsia="Calibri" w:cs="Times New Roman"/>
          <w:bCs/>
          <w:szCs w:val="24"/>
        </w:rPr>
      </w:pPr>
      <w:r w:rsidRPr="00A878BE">
        <w:rPr>
          <w:rFonts w:eastAsia="Calibri" w:cs="Times New Roman"/>
          <w:bCs/>
          <w:szCs w:val="24"/>
        </w:rPr>
        <w:t>za przestępstwo przeciwko wolności seksualnej i obyczajności, jeżeli pokrzywdzony był małoletnim poniżej lat 15</w:t>
      </w:r>
    </w:p>
    <w:p w:rsidR="00A878BE" w:rsidRPr="00A878BE" w:rsidRDefault="00A878BE" w:rsidP="00A878BE">
      <w:pPr>
        <w:spacing w:after="0" w:line="276" w:lineRule="auto"/>
        <w:ind w:left="1361"/>
        <w:jc w:val="both"/>
        <w:outlineLvl w:val="0"/>
        <w:rPr>
          <w:rFonts w:eastAsia="Calibri"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2"/>
          <w:numId w:val="1"/>
        </w:numPr>
        <w:spacing w:after="0" w:line="276" w:lineRule="auto"/>
        <w:ind w:left="1361"/>
        <w:jc w:val="both"/>
        <w:outlineLvl w:val="0"/>
        <w:rPr>
          <w:rFonts w:eastAsia="Calibri" w:cs="Times New Roman"/>
          <w:bCs/>
          <w:szCs w:val="24"/>
        </w:rPr>
      </w:pPr>
      <w:r w:rsidRPr="00A878BE">
        <w:rPr>
          <w:rFonts w:eastAsia="Calibri" w:cs="Times New Roman"/>
          <w:bCs/>
          <w:szCs w:val="24"/>
        </w:rPr>
        <w:t>za przestępstwo przeciwko wolności seksualnej i obyczajności, jeżeli pokrzywdzony był  młodociany</w:t>
      </w:r>
    </w:p>
    <w:p w:rsidR="00A878BE" w:rsidRPr="00A878BE" w:rsidRDefault="00A878BE" w:rsidP="00A878BE">
      <w:pPr>
        <w:pStyle w:val="Akapitzlist"/>
        <w:spacing w:after="0" w:line="276" w:lineRule="auto"/>
        <w:ind w:left="1494"/>
        <w:jc w:val="both"/>
        <w:outlineLvl w:val="0"/>
        <w:rPr>
          <w:rFonts w:eastAsia="Calibri" w:cs="Times New Roman"/>
          <w:bCs/>
          <w:szCs w:val="24"/>
        </w:rPr>
      </w:pPr>
    </w:p>
    <w:p w:rsidR="00A878BE" w:rsidRPr="00A878BE" w:rsidRDefault="00A878BE" w:rsidP="00A878BE">
      <w:pPr>
        <w:spacing w:after="0" w:line="276" w:lineRule="auto"/>
        <w:ind w:left="1077"/>
        <w:contextualSpacing/>
        <w:jc w:val="both"/>
        <w:outlineLvl w:val="0"/>
        <w:rPr>
          <w:rFonts w:eastAsia="Calibri"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9"/>
        </w:numPr>
        <w:spacing w:after="0" w:line="276" w:lineRule="auto"/>
        <w:ind w:left="964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Zgodnie z Kodeksem karnym</w:t>
      </w:r>
      <w:r w:rsidRPr="00A878BE">
        <w:t xml:space="preserve"> </w:t>
      </w:r>
      <w:r w:rsidRPr="00A878BE">
        <w:rPr>
          <w:rFonts w:cs="Times New Roman"/>
          <w:szCs w:val="24"/>
        </w:rPr>
        <w:t>sąd orzeka przepadek pojazdu mechanicznego prowadzonego przez sprawcę w ruchu lądowym w razie popełnienia przestępstwa określonego w art. 178 a § 1 lub 4 kk, chyba, że:</w:t>
      </w:r>
    </w:p>
    <w:p w:rsidR="00A878BE" w:rsidRPr="00A878BE" w:rsidRDefault="00A878BE" w:rsidP="00A878BE">
      <w:pPr>
        <w:pStyle w:val="Akapitzlist"/>
        <w:spacing w:after="0" w:line="276" w:lineRule="auto"/>
        <w:ind w:left="96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spacing w:after="0" w:line="360" w:lineRule="auto"/>
        <w:jc w:val="both"/>
        <w:outlineLvl w:val="0"/>
        <w:rPr>
          <w:rFonts w:eastAsia="Calibri" w:cs="Times New Roman"/>
          <w:bCs/>
          <w:szCs w:val="24"/>
        </w:rPr>
      </w:pPr>
      <w:r w:rsidRPr="00A878BE">
        <w:rPr>
          <w:rFonts w:eastAsia="Calibri" w:cs="Times New Roman"/>
          <w:bCs/>
          <w:szCs w:val="24"/>
        </w:rPr>
        <w:t>zawartość alkoholu w organizmie sprawcy przestępstwa określonego w § 1 była wyższa niż 1,5 promila we krwi lub 0,75 mg/dm3 w wydychanym powietrzu albo nie prowadziła do takiego stężenia</w:t>
      </w:r>
    </w:p>
    <w:p w:rsidR="00EF070F" w:rsidRDefault="00EF070F" w:rsidP="00EF070F">
      <w:pPr>
        <w:pStyle w:val="Akapitzlist"/>
        <w:spacing w:after="0" w:line="360" w:lineRule="auto"/>
        <w:ind w:left="1440"/>
        <w:jc w:val="both"/>
        <w:outlineLvl w:val="0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spacing w:after="0" w:line="360" w:lineRule="auto"/>
        <w:jc w:val="both"/>
        <w:outlineLvl w:val="0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zawartość alkoholu w organizmie sprawcy przestępstwa określonego w § 1 była niższa niż 1,5 promila we krwi lub 0,75 mg/dm3 w wydychanym powietrzu albo nie prowadziła do takiego stężenia</w:t>
      </w:r>
    </w:p>
    <w:p w:rsidR="00A878BE" w:rsidRPr="00A878BE" w:rsidRDefault="00A878BE" w:rsidP="00A878BE">
      <w:pPr>
        <w:spacing w:after="0" w:line="360" w:lineRule="auto"/>
        <w:jc w:val="both"/>
        <w:outlineLvl w:val="0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spacing w:after="0" w:line="360" w:lineRule="auto"/>
        <w:jc w:val="both"/>
        <w:outlineLvl w:val="0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zawartość alkoholu w organizmie sprawcy przestępstwa określonego w § 1 była niższa niż 1,5 promila we krwi lub 0,75 mg/dm3 w wydychanym powietrzu albo nie prowadziła do takiego stężenia i sprawca  przyznał się do popełnienia zarzucanego mu czynu </w:t>
      </w:r>
    </w:p>
    <w:p w:rsidR="00A878BE" w:rsidRPr="00A878BE" w:rsidRDefault="00A878BE" w:rsidP="00A878BE">
      <w:pPr>
        <w:pStyle w:val="Akapitzlist"/>
        <w:numPr>
          <w:ilvl w:val="0"/>
          <w:numId w:val="9"/>
        </w:numPr>
        <w:spacing w:after="0" w:line="240" w:lineRule="auto"/>
        <w:ind w:left="1154"/>
        <w:jc w:val="both"/>
      </w:pPr>
      <w:r w:rsidRPr="00A878BE">
        <w:rPr>
          <w:rFonts w:cs="Times New Roman"/>
          <w:szCs w:val="24"/>
        </w:rPr>
        <w:lastRenderedPageBreak/>
        <w:t>Zgodnie z Kodeksem karnym</w:t>
      </w:r>
      <w:r w:rsidRPr="00A878BE">
        <w:t xml:space="preserve"> w razie skazania za zbiegające się przestępstwa na kary pozbawienia wolności z warunkowym zawieszeniem ich wykonania sąd może:</w:t>
      </w:r>
    </w:p>
    <w:p w:rsidR="00A878BE" w:rsidRPr="00A878BE" w:rsidRDefault="00A878BE" w:rsidP="00A878BE">
      <w:pPr>
        <w:spacing w:after="0" w:line="240" w:lineRule="auto"/>
        <w:ind w:left="1077"/>
        <w:contextualSpacing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ind w:left="1587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w wyroku łącznym orzec tylko karę łączną pozbawienia wolności z warunkowym zawieszeniem jej wykonania</w:t>
      </w:r>
    </w:p>
    <w:p w:rsidR="00A878BE" w:rsidRPr="00A878BE" w:rsidRDefault="00A878BE" w:rsidP="00A878BE">
      <w:pPr>
        <w:pStyle w:val="Akapitzlist"/>
        <w:ind w:left="1587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ind w:left="1587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w wyroku łącznym orzec tylko karę łączną pozbawienia wolności bez warunkowego zawieszenia jej wykonania</w:t>
      </w:r>
    </w:p>
    <w:p w:rsidR="00A878BE" w:rsidRPr="00A878BE" w:rsidRDefault="00A878BE" w:rsidP="00A878BE">
      <w:pPr>
        <w:pStyle w:val="Akapitzlist"/>
        <w:ind w:left="1587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ind w:left="1587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w wyroku łącznym orzec karę łączną pozbawienia wolności bez warunkowego zawieszenia jej wykonania albo z warunkowym  zawieszeniem jej wykonania  </w:t>
      </w:r>
    </w:p>
    <w:p w:rsidR="00A878BE" w:rsidRPr="00A878BE" w:rsidRDefault="00A878BE" w:rsidP="00A878BE">
      <w:pPr>
        <w:spacing w:after="0" w:line="276" w:lineRule="auto"/>
        <w:contextualSpacing/>
        <w:jc w:val="both"/>
        <w:rPr>
          <w:rFonts w:eastAsia="Times New Roman" w:cs="Times New Roman"/>
          <w:szCs w:val="24"/>
          <w:highlight w:val="yellow"/>
          <w:lang w:eastAsia="pl-PL"/>
        </w:rPr>
      </w:pPr>
    </w:p>
    <w:p w:rsidR="00A878BE" w:rsidRPr="00A878BE" w:rsidRDefault="00A878BE" w:rsidP="00A878BE">
      <w:pPr>
        <w:pStyle w:val="Akapitzlist"/>
        <w:numPr>
          <w:ilvl w:val="0"/>
          <w:numId w:val="9"/>
        </w:numPr>
        <w:spacing w:after="0" w:line="276" w:lineRule="auto"/>
        <w:ind w:left="1210"/>
        <w:jc w:val="both"/>
        <w:rPr>
          <w:rFonts w:eastAsia="Times New Roman" w:cs="Times New Roman"/>
          <w:szCs w:val="24"/>
          <w:lang w:eastAsia="pl-PL"/>
        </w:rPr>
      </w:pPr>
      <w:r w:rsidRPr="00A878BE">
        <w:rPr>
          <w:rFonts w:eastAsia="Times New Roman" w:cs="Times New Roman"/>
          <w:szCs w:val="24"/>
          <w:lang w:eastAsia="pl-PL"/>
        </w:rPr>
        <w:t>Zgodnie z Kodeksem postępowania karnego</w:t>
      </w:r>
      <w:r w:rsidRPr="00A878BE">
        <w:t xml:space="preserve"> </w:t>
      </w:r>
      <w:r w:rsidRPr="00A878BE">
        <w:rPr>
          <w:rFonts w:eastAsia="Times New Roman" w:cs="Times New Roman"/>
          <w:szCs w:val="24"/>
          <w:lang w:eastAsia="pl-PL"/>
        </w:rPr>
        <w:t>postępowanie w sprawie o występek, zagrożony karą pozbawienia wolności do lat 5:</w:t>
      </w:r>
    </w:p>
    <w:p w:rsidR="00A878BE" w:rsidRPr="00A878BE" w:rsidRDefault="00A878BE" w:rsidP="00A878BE">
      <w:pPr>
        <w:spacing w:after="0" w:line="276" w:lineRule="auto"/>
        <w:ind w:left="1191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A878BE" w:rsidRPr="00A878BE" w:rsidRDefault="00A878BE" w:rsidP="00A878BE">
      <w:pPr>
        <w:pStyle w:val="Akapitzlist"/>
        <w:numPr>
          <w:ilvl w:val="0"/>
          <w:numId w:val="5"/>
        </w:numPr>
        <w:spacing w:line="276" w:lineRule="auto"/>
        <w:ind w:left="1644"/>
        <w:jc w:val="both"/>
        <w:rPr>
          <w:rFonts w:cs="Times New Roman"/>
          <w:szCs w:val="24"/>
        </w:rPr>
      </w:pPr>
      <w:r w:rsidRPr="00A878BE">
        <w:t>można umorzyć postepowanie, jeżeli orzeczenie wobec oskarżonego kary byłoby oczywiście niecelowe ze względu na rodzaj i wysokość kary prawomocnie orzeczonej za inne przestępstwo, a interes pokrzywdzonego temu się nie sprzeciwia:</w:t>
      </w:r>
    </w:p>
    <w:p w:rsidR="00A878BE" w:rsidRPr="00A878BE" w:rsidRDefault="00A878BE" w:rsidP="00A878BE">
      <w:pPr>
        <w:pStyle w:val="Akapitzlist"/>
        <w:spacing w:line="276" w:lineRule="auto"/>
        <w:ind w:left="164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5"/>
        </w:numPr>
        <w:spacing w:line="276" w:lineRule="auto"/>
        <w:ind w:left="1644"/>
        <w:jc w:val="both"/>
        <w:rPr>
          <w:rFonts w:cs="Times New Roman"/>
          <w:szCs w:val="24"/>
        </w:rPr>
      </w:pPr>
      <w:r w:rsidRPr="00A878BE">
        <w:t>nie można umorzyć postepowanie, nawet jeżeli orzeczenie wobec oskarżonego kary byłoby oczywiście niecelowe ze względu na rodzaj i wysokość kary prawomocnie orzeczonej za inne przestępstwo, a interes pokrzywdzonego temu się nie sprzeciwia</w:t>
      </w:r>
    </w:p>
    <w:p w:rsidR="00A878BE" w:rsidRPr="00A878BE" w:rsidRDefault="00A878BE" w:rsidP="00A878BE">
      <w:pPr>
        <w:pStyle w:val="Akapitzlist"/>
        <w:ind w:left="1644"/>
      </w:pPr>
    </w:p>
    <w:p w:rsidR="00A878BE" w:rsidRPr="00A878BE" w:rsidRDefault="00A878BE" w:rsidP="00A878BE">
      <w:pPr>
        <w:pStyle w:val="Akapitzlist"/>
        <w:numPr>
          <w:ilvl w:val="0"/>
          <w:numId w:val="5"/>
        </w:numPr>
        <w:spacing w:line="276" w:lineRule="auto"/>
        <w:ind w:left="1644"/>
        <w:jc w:val="both"/>
        <w:rPr>
          <w:rFonts w:cs="Times New Roman"/>
          <w:szCs w:val="24"/>
        </w:rPr>
      </w:pPr>
      <w:r w:rsidRPr="00A878BE">
        <w:t xml:space="preserve"> można umorzyć postępowanie, jeżeli orzeczenie wobec oskarżonego kary byłoby oczywiście niecelowe ze względu na rodzaj i wysokość kary prawomocnie orzeczonej za inne przestępstwo</w:t>
      </w:r>
    </w:p>
    <w:p w:rsidR="00A878BE" w:rsidRPr="00A878BE" w:rsidRDefault="00A878BE" w:rsidP="00A878BE">
      <w:pPr>
        <w:spacing w:after="0" w:line="360" w:lineRule="auto"/>
        <w:ind w:left="1146"/>
        <w:contextualSpacing/>
        <w:jc w:val="both"/>
        <w:rPr>
          <w:rFonts w:eastAsia="Times New Roman" w:cs="Times New Roman"/>
          <w:szCs w:val="24"/>
          <w:lang w:eastAsia="pl-PL"/>
        </w:rPr>
      </w:pPr>
    </w:p>
    <w:p w:rsidR="00A878BE" w:rsidRPr="00A878BE" w:rsidRDefault="00A878BE" w:rsidP="00A878BE">
      <w:pPr>
        <w:spacing w:after="0" w:line="276" w:lineRule="auto"/>
        <w:ind w:left="1020"/>
        <w:contextualSpacing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/>
          <w:bCs/>
          <w:szCs w:val="24"/>
        </w:rPr>
        <w:t>11</w:t>
      </w:r>
      <w:r w:rsidRPr="00A878BE">
        <w:rPr>
          <w:rFonts w:cs="Times New Roman"/>
          <w:bCs/>
          <w:szCs w:val="24"/>
        </w:rPr>
        <w:t xml:space="preserve">. Zgodnie z Kodeksem postępowania karnego </w:t>
      </w:r>
    </w:p>
    <w:p w:rsidR="00A878BE" w:rsidRPr="00A878BE" w:rsidRDefault="00A878BE" w:rsidP="00A878BE">
      <w:pPr>
        <w:spacing w:after="0" w:line="276" w:lineRule="auto"/>
        <w:ind w:left="1020"/>
        <w:contextualSpacing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1644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p</w:t>
      </w:r>
      <w:r w:rsidRPr="00A878BE">
        <w:t>rzesłuchanie świadka nie może nastąpić przy użyciu urządzeń technicznych umożliwiających przeprowadzenie tej czynności na odległość z jednoczesnym bezpośrednim przekazem obrazu i dźwięku</w:t>
      </w:r>
    </w:p>
    <w:p w:rsidR="00A878BE" w:rsidRPr="00A878BE" w:rsidRDefault="00A878BE" w:rsidP="00A878BE">
      <w:pPr>
        <w:pStyle w:val="Akapitzlist"/>
        <w:autoSpaceDE w:val="0"/>
        <w:autoSpaceDN w:val="0"/>
        <w:adjustRightInd w:val="0"/>
        <w:spacing w:line="276" w:lineRule="auto"/>
        <w:ind w:left="164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1644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p</w:t>
      </w:r>
      <w:r w:rsidRPr="00A878BE">
        <w:t>rzesłuchanie świadka może nastąpić przy użyciu urządzeń technicznych umożliwiających przeprowadzenie tej czynności na odległość z jednoczesnym bezpośrednim przekazem obrazu i dźwięku:</w:t>
      </w:r>
    </w:p>
    <w:p w:rsidR="00A878BE" w:rsidRPr="00A878BE" w:rsidRDefault="00A878BE" w:rsidP="00A878BE">
      <w:pPr>
        <w:autoSpaceDE w:val="0"/>
        <w:autoSpaceDN w:val="0"/>
        <w:adjustRightInd w:val="0"/>
        <w:spacing w:line="276" w:lineRule="auto"/>
        <w:ind w:left="1644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ind w:left="1644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p</w:t>
      </w:r>
      <w:r w:rsidRPr="00A878BE">
        <w:t xml:space="preserve">rzesłuchanie świadka może nastąpić przy użyciu urządzeń technicznych umożliwiających przeprowadzenie tej czynności na odległość z bezpośrednim przekazem dźwięku. </w:t>
      </w:r>
    </w:p>
    <w:p w:rsidR="00A878BE" w:rsidRPr="00A878BE" w:rsidRDefault="00A878BE" w:rsidP="00A878B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autoSpaceDE w:val="0"/>
        <w:autoSpaceDN w:val="0"/>
        <w:adjustRightInd w:val="0"/>
        <w:spacing w:line="240" w:lineRule="auto"/>
        <w:ind w:left="1134"/>
        <w:contextualSpacing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/>
          <w:bCs/>
          <w:szCs w:val="24"/>
        </w:rPr>
        <w:t>12.</w:t>
      </w:r>
      <w:r w:rsidRPr="00A878BE">
        <w:rPr>
          <w:rFonts w:cs="Times New Roman"/>
          <w:bCs/>
          <w:szCs w:val="24"/>
        </w:rPr>
        <w:t xml:space="preserve"> Zgodnie z Kodeksem postępowania karnego wyrok nakazowy powinien zawierać:</w:t>
      </w:r>
    </w:p>
    <w:p w:rsidR="00A878BE" w:rsidRPr="00A878BE" w:rsidRDefault="00A878BE" w:rsidP="00A878BE">
      <w:pPr>
        <w:autoSpaceDE w:val="0"/>
        <w:autoSpaceDN w:val="0"/>
        <w:adjustRightInd w:val="0"/>
        <w:spacing w:line="240" w:lineRule="auto"/>
        <w:ind w:left="1644"/>
        <w:contextualSpacing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1814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oznaczenie sądu i sędziego, który go wydał, datę wydania wyroku, imię i nazwisko oraz inne dane określające tożsamość oskarżonego, dokładne określenie czynu przypisanego przez sąd oskarżonemu, ze wskazaniem zastosowanych przepisów ustawy karnej, wymiar kary i inne niezbędne rozstrzygnięcia:</w:t>
      </w:r>
    </w:p>
    <w:p w:rsidR="00A878BE" w:rsidRPr="00A878BE" w:rsidRDefault="00A878BE" w:rsidP="00A878BE">
      <w:pPr>
        <w:pStyle w:val="Akapitzlist"/>
        <w:autoSpaceDE w:val="0"/>
        <w:autoSpaceDN w:val="0"/>
        <w:adjustRightInd w:val="0"/>
        <w:spacing w:line="276" w:lineRule="auto"/>
        <w:ind w:left="1814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1814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datę wydania wyroku, imię i nazwisko oraz inne dane określające tożsamość oskarżonego, dokładne określenie czynu przypisanego przez sąd oskarżonemu, ze wskazaniem zastosowanych przepisów ustawy karnej, wymiar kary i inne niezbędne rozstrzygnięcia</w:t>
      </w:r>
    </w:p>
    <w:p w:rsidR="00A878BE" w:rsidRPr="00A878BE" w:rsidRDefault="00A878BE" w:rsidP="00A878BE">
      <w:pPr>
        <w:pStyle w:val="Akapitzlist"/>
        <w:ind w:left="1814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1814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oznaczenie sądu i sędziego, który go wydał, datę wydania wyroku, imię i nazwisko oraz inne dane określające tożsamość oskarżonego, dokładne określenie czynu przypisanego przez sąd oskarżonemu, ze wskazaniem zastosowanych przepisów ustawy karnej</w:t>
      </w:r>
    </w:p>
    <w:p w:rsidR="00A878BE" w:rsidRPr="00A878BE" w:rsidRDefault="00A878BE" w:rsidP="00A878BE">
      <w:pPr>
        <w:spacing w:after="0" w:line="276" w:lineRule="auto"/>
        <w:ind w:left="1494"/>
        <w:contextualSpacing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spacing w:after="0" w:line="276" w:lineRule="auto"/>
        <w:ind w:left="720"/>
        <w:contextualSpacing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spacing w:after="0" w:line="276" w:lineRule="auto"/>
        <w:ind w:left="1134"/>
        <w:contextualSpacing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/>
          <w:bCs/>
          <w:szCs w:val="24"/>
        </w:rPr>
        <w:t>13.</w:t>
      </w:r>
      <w:r w:rsidRPr="00A878BE">
        <w:rPr>
          <w:rFonts w:cs="Times New Roman"/>
          <w:bCs/>
          <w:szCs w:val="24"/>
        </w:rPr>
        <w:t xml:space="preserve"> Zgodnie z Kodeksem postępowania karnego sad może wydać wyrok nakazowy:</w:t>
      </w:r>
    </w:p>
    <w:p w:rsidR="00A878BE" w:rsidRPr="00A878BE" w:rsidRDefault="00A878BE" w:rsidP="00A878BE">
      <w:pPr>
        <w:spacing w:after="0" w:line="276" w:lineRule="auto"/>
        <w:contextualSpacing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7"/>
        </w:numPr>
        <w:spacing w:after="0" w:line="276" w:lineRule="auto"/>
        <w:ind w:left="1701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 xml:space="preserve">sprawach, w których prowadzono dochodzenie, uznając na podstawie zebranego w postępowaniu przygotowawczym materiału, że przeprowadzenie rozprawy nie jest konieczne i w wypadkach pozwalających na orzeczenie kary ograniczenia wolności lub grzywny </w:t>
      </w:r>
    </w:p>
    <w:p w:rsidR="00A878BE" w:rsidRPr="00A878BE" w:rsidRDefault="00A878BE" w:rsidP="00A878BE">
      <w:pPr>
        <w:pStyle w:val="Akapitzlist"/>
        <w:spacing w:after="0" w:line="276" w:lineRule="auto"/>
        <w:ind w:left="1701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7"/>
        </w:numPr>
        <w:spacing w:after="0" w:line="276" w:lineRule="auto"/>
        <w:ind w:left="1701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sprawach, w których prowadzono dochodzenie, uznając na podstawie zebranego w postępowaniu przygotowawczym materiału, że przeprowadzenie rozprawy nie jest konieczne i w wypadkach pozwalających na orzeczenie kary pozbawienia wolności z warunkowym zawieszeniem jej wykonania lub ograniczenia wolności lub grzywny </w:t>
      </w:r>
    </w:p>
    <w:p w:rsidR="00A878BE" w:rsidRPr="00A878BE" w:rsidRDefault="00A878BE" w:rsidP="00A878BE">
      <w:pPr>
        <w:pStyle w:val="Akapitzlist"/>
        <w:spacing w:after="0" w:line="276" w:lineRule="auto"/>
        <w:ind w:left="1701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szCs w:val="24"/>
        </w:rPr>
        <w:t xml:space="preserve"> </w:t>
      </w:r>
    </w:p>
    <w:p w:rsidR="00A878BE" w:rsidRPr="00A878BE" w:rsidRDefault="00A878BE" w:rsidP="00A878BE">
      <w:pPr>
        <w:pStyle w:val="Akapitzlist"/>
        <w:numPr>
          <w:ilvl w:val="0"/>
          <w:numId w:val="7"/>
        </w:numPr>
        <w:spacing w:after="0" w:line="276" w:lineRule="auto"/>
        <w:ind w:left="1701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we wszystkich sprawach, w których uznaje na podstawie zebranego w postępowaniu przygotowawczym materiału, że przeprowadzenie rozprawy nie jest konieczne i w wypadkach pozwalających na orzeczenie kary ograniczenia wolności lub grzywny</w:t>
      </w:r>
    </w:p>
    <w:p w:rsidR="00A878BE" w:rsidRDefault="00A878BE" w:rsidP="00A878BE">
      <w:pPr>
        <w:pStyle w:val="Akapitzlist"/>
        <w:rPr>
          <w:rFonts w:cs="Times New Roman"/>
          <w:szCs w:val="24"/>
          <w:highlight w:val="yellow"/>
        </w:rPr>
      </w:pPr>
    </w:p>
    <w:p w:rsidR="00EF070F" w:rsidRDefault="00EF070F" w:rsidP="00A878BE">
      <w:pPr>
        <w:pStyle w:val="Akapitzlist"/>
        <w:rPr>
          <w:rFonts w:cs="Times New Roman"/>
          <w:szCs w:val="24"/>
          <w:highlight w:val="yellow"/>
        </w:rPr>
      </w:pPr>
    </w:p>
    <w:p w:rsidR="00EF070F" w:rsidRPr="00A878BE" w:rsidRDefault="00EF070F" w:rsidP="00A878BE">
      <w:pPr>
        <w:pStyle w:val="Akapitzlist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pStyle w:val="Akapitzlist"/>
        <w:spacing w:after="0" w:line="276" w:lineRule="auto"/>
        <w:ind w:left="1701"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spacing w:after="0" w:line="276" w:lineRule="auto"/>
        <w:ind w:left="1191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/>
          <w:bCs/>
          <w:szCs w:val="24"/>
        </w:rPr>
        <w:lastRenderedPageBreak/>
        <w:t>14.</w:t>
      </w:r>
      <w:r w:rsidRPr="00A878BE">
        <w:rPr>
          <w:rFonts w:cs="Times New Roman"/>
          <w:bCs/>
          <w:szCs w:val="24"/>
        </w:rPr>
        <w:t xml:space="preserve"> Zgodnie z Kodeksem postępowania karnego jeżeli pismo nie odpowiada wymaganiom formalnym, przewidzianym w art. 119 kpk lub w przepisach szczególnych, a brak jest tego rodzaju, że pismo nie może otrzymać biegu, albo brak polega na niezłożeniu należytych opłat lub upoważnienia do podjęcia czynności procesowej:</w:t>
      </w:r>
    </w:p>
    <w:p w:rsidR="00A878BE" w:rsidRPr="00A878BE" w:rsidRDefault="00A878BE" w:rsidP="00A878BE">
      <w:pPr>
        <w:spacing w:after="0" w:line="276" w:lineRule="auto"/>
        <w:ind w:left="1077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spacing w:after="0" w:line="276" w:lineRule="auto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wzywa się osobę, która wniosła pismo, do usunięcia braku w terminie 7 dni, chyba, że wnoszącym jest adwokat albo radca prawny</w:t>
      </w:r>
    </w:p>
    <w:p w:rsidR="00A878BE" w:rsidRPr="00A878BE" w:rsidRDefault="00A878BE" w:rsidP="00A878BE">
      <w:pPr>
        <w:pStyle w:val="Akapitzlist"/>
        <w:spacing w:after="0" w:line="360" w:lineRule="auto"/>
        <w:ind w:left="1854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 </w:t>
      </w:r>
    </w:p>
    <w:p w:rsidR="00A878BE" w:rsidRPr="00A878BE" w:rsidRDefault="00A878BE" w:rsidP="00A878B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wzywa się jedynie osobę występującą bez obrońcy albo pełnomocnika, która wniosła pismo, do usunięcia braku w terminie 7 dni</w:t>
      </w:r>
    </w:p>
    <w:p w:rsidR="00A878BE" w:rsidRPr="00A878BE" w:rsidRDefault="00A878BE" w:rsidP="00A878BE">
      <w:pPr>
        <w:spacing w:after="0" w:line="360" w:lineRule="auto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wzywa się osobę, która wniosła pismo do usunięcia braku w terminie 7 dni</w:t>
      </w:r>
    </w:p>
    <w:p w:rsidR="00A878BE" w:rsidRPr="00A878BE" w:rsidRDefault="00A878BE" w:rsidP="00A878BE">
      <w:pPr>
        <w:spacing w:line="360" w:lineRule="auto"/>
        <w:ind w:left="720"/>
        <w:contextualSpacing/>
        <w:rPr>
          <w:rFonts w:cs="Times New Roman"/>
          <w:szCs w:val="24"/>
        </w:rPr>
      </w:pPr>
    </w:p>
    <w:p w:rsidR="00A878BE" w:rsidRPr="00A878BE" w:rsidRDefault="00A878BE" w:rsidP="00A878BE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 </w:t>
      </w:r>
    </w:p>
    <w:p w:rsidR="00A878BE" w:rsidRPr="00A878BE" w:rsidRDefault="00A878BE" w:rsidP="00A878BE">
      <w:pPr>
        <w:pStyle w:val="Akapitzlist"/>
        <w:numPr>
          <w:ilvl w:val="0"/>
          <w:numId w:val="3"/>
        </w:numPr>
        <w:spacing w:after="0" w:line="276" w:lineRule="auto"/>
        <w:ind w:left="1417"/>
        <w:jc w:val="both"/>
        <w:rPr>
          <w:rFonts w:cs="Times New Roman"/>
          <w:szCs w:val="24"/>
        </w:rPr>
      </w:pPr>
      <w:r w:rsidRPr="00A878BE">
        <w:rPr>
          <w:rFonts w:cs="Times New Roman"/>
          <w:bCs/>
          <w:szCs w:val="24"/>
        </w:rPr>
        <w:t xml:space="preserve">Zgodnie z Kodeksem postępowania karnego czynność procesowa dokonana po upływie terminu zawitego: </w:t>
      </w:r>
    </w:p>
    <w:p w:rsidR="00A878BE" w:rsidRPr="00A878BE" w:rsidRDefault="00A878BE" w:rsidP="00A878BE">
      <w:pPr>
        <w:pStyle w:val="Akapitzlist"/>
        <w:spacing w:after="0" w:line="276" w:lineRule="auto"/>
        <w:ind w:left="1417"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jest skuteczna, jeśli dokonujący czynności jednocześnie usprawiedliwi przekroczenie terminie obiektywnymi przyczynami </w:t>
      </w:r>
    </w:p>
    <w:p w:rsidR="00A878BE" w:rsidRPr="00A878BE" w:rsidRDefault="00A878BE" w:rsidP="00A878BE">
      <w:pPr>
        <w:pStyle w:val="Akapitzlist"/>
        <w:ind w:left="1800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jest bezskuteczna</w:t>
      </w:r>
    </w:p>
    <w:p w:rsidR="00A878BE" w:rsidRPr="00A878BE" w:rsidRDefault="00A878BE" w:rsidP="00A878BE">
      <w:pPr>
        <w:spacing w:after="0" w:line="276" w:lineRule="auto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jest bezskuteczna, chyba, że wnoszący występuję bez obrońcy albo pełnomocnika </w:t>
      </w:r>
    </w:p>
    <w:p w:rsidR="00A878BE" w:rsidRPr="00A878BE" w:rsidRDefault="00A878BE" w:rsidP="00A878BE">
      <w:pPr>
        <w:spacing w:after="0" w:line="276" w:lineRule="auto"/>
        <w:ind w:left="1440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spacing w:after="0" w:line="276" w:lineRule="auto"/>
        <w:ind w:left="1020"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numPr>
          <w:ilvl w:val="0"/>
          <w:numId w:val="3"/>
        </w:numPr>
        <w:spacing w:after="0" w:line="276" w:lineRule="auto"/>
        <w:ind w:left="1267"/>
        <w:contextualSpacing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Zgodnie z Kodeksem postępowania karnego wniosek o ściganie może być cofnięty w postępowaniu sądowym:</w:t>
      </w:r>
    </w:p>
    <w:p w:rsidR="00A878BE" w:rsidRPr="00A878BE" w:rsidRDefault="00A878BE" w:rsidP="00A878BE">
      <w:pPr>
        <w:spacing w:after="0" w:line="276" w:lineRule="auto"/>
        <w:ind w:left="1020"/>
        <w:contextualSpacing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za zgodą sądu aż do otwarcia przewodu sądowego na pierwszej rozprawie głównej</w:t>
      </w:r>
    </w:p>
    <w:p w:rsidR="00A878BE" w:rsidRPr="00A878BE" w:rsidRDefault="00A878BE" w:rsidP="00A878BE">
      <w:pPr>
        <w:pStyle w:val="Akapitzlist"/>
        <w:spacing w:after="0" w:line="276" w:lineRule="auto"/>
        <w:ind w:left="1800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numPr>
          <w:ilvl w:val="1"/>
          <w:numId w:val="3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 xml:space="preserve"> za zgodą sądu aż do zamknięcia przewodu sądowego na pierwszej rozprawie głównej</w:t>
      </w:r>
    </w:p>
    <w:p w:rsidR="00A878BE" w:rsidRPr="00A878BE" w:rsidRDefault="00A878BE" w:rsidP="00A878BE">
      <w:pPr>
        <w:spacing w:after="0" w:line="276" w:lineRule="auto"/>
        <w:contextualSpacing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numPr>
          <w:ilvl w:val="1"/>
          <w:numId w:val="3"/>
        </w:numPr>
        <w:spacing w:after="0" w:line="276" w:lineRule="auto"/>
        <w:contextualSpacing/>
        <w:jc w:val="both"/>
        <w:rPr>
          <w:rFonts w:cs="Times New Roman"/>
          <w:szCs w:val="24"/>
        </w:rPr>
      </w:pPr>
      <w:r w:rsidRPr="00A878BE">
        <w:rPr>
          <w:rFonts w:cs="Times New Roman"/>
          <w:szCs w:val="24"/>
        </w:rPr>
        <w:t>za zgodą sądu aż do rozpoczęcia pierwszej rozprawy głównej</w:t>
      </w:r>
    </w:p>
    <w:p w:rsidR="00A878BE" w:rsidRPr="00A878BE" w:rsidRDefault="00A878BE" w:rsidP="00A878BE">
      <w:pPr>
        <w:spacing w:after="0" w:line="276" w:lineRule="auto"/>
        <w:ind w:left="1494"/>
        <w:contextualSpacing/>
        <w:jc w:val="both"/>
        <w:rPr>
          <w:rFonts w:cs="Times New Roman"/>
          <w:szCs w:val="24"/>
        </w:rPr>
      </w:pPr>
    </w:p>
    <w:p w:rsidR="00A878BE" w:rsidRDefault="00A878BE" w:rsidP="00A878BE">
      <w:pPr>
        <w:spacing w:after="0" w:line="276" w:lineRule="auto"/>
        <w:jc w:val="both"/>
        <w:rPr>
          <w:rFonts w:cs="Times New Roman"/>
          <w:szCs w:val="24"/>
        </w:rPr>
      </w:pPr>
    </w:p>
    <w:p w:rsidR="00EF070F" w:rsidRPr="00A878BE" w:rsidRDefault="00EF070F" w:rsidP="00A878BE">
      <w:pPr>
        <w:spacing w:after="0" w:line="276" w:lineRule="auto"/>
        <w:jc w:val="both"/>
        <w:rPr>
          <w:rFonts w:cs="Times New Roman"/>
          <w:szCs w:val="24"/>
        </w:rPr>
      </w:pPr>
    </w:p>
    <w:p w:rsidR="00A878BE" w:rsidRPr="00A878BE" w:rsidRDefault="00A878BE" w:rsidP="00A878BE">
      <w:pPr>
        <w:numPr>
          <w:ilvl w:val="0"/>
          <w:numId w:val="3"/>
        </w:numPr>
        <w:spacing w:after="0" w:line="276" w:lineRule="auto"/>
        <w:ind w:left="1380"/>
        <w:contextualSpacing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lastRenderedPageBreak/>
        <w:t>Zgodnie z Kodeksem postępowania karnego, jeżeli w orzeczeniu kończącym postępowanie w sprawie nie zamieszczono rozstrzygnięcia o kosztach, jak również gdy zachodzi konieczność dodatkowego ustalenia ich wysokości lub rozstrzygnięcia o kosztach postępowania wykonawczego:</w:t>
      </w:r>
    </w:p>
    <w:p w:rsidR="00A878BE" w:rsidRPr="00A878BE" w:rsidRDefault="00A878BE" w:rsidP="00A878BE">
      <w:pPr>
        <w:spacing w:after="0" w:line="276" w:lineRule="auto"/>
        <w:ind w:left="1080"/>
        <w:contextualSpacing/>
        <w:jc w:val="both"/>
        <w:rPr>
          <w:rFonts w:cs="Times New Roman"/>
          <w:bCs/>
          <w:szCs w:val="24"/>
          <w:highlight w:val="yellow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orzeczenie w tym przedmiocie wydaje jedynie sąd pierwszej instancji, a w zakresie dodatkowego ustalenia wysokości kosztów także referendarz sądowy właściwego sądu</w:t>
      </w:r>
    </w:p>
    <w:p w:rsidR="00A878BE" w:rsidRPr="00A878BE" w:rsidRDefault="00A878BE" w:rsidP="00A878BE">
      <w:pPr>
        <w:pStyle w:val="Akapitzlist"/>
        <w:spacing w:after="0" w:line="276" w:lineRule="auto"/>
        <w:ind w:left="1800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orzeczenie w tym przedmiocie wydaje odpowiednio sąd pierwszej instancji, sąd odwoławczy, a w zakresie dodatkowego ustalenia wysokości kosztów także referendarz sądowy właściwego sądu</w:t>
      </w:r>
    </w:p>
    <w:p w:rsidR="00A878BE" w:rsidRPr="00A878BE" w:rsidRDefault="00A878BE" w:rsidP="00A878BE">
      <w:pPr>
        <w:ind w:left="1494"/>
        <w:contextualSpacing/>
        <w:rPr>
          <w:rFonts w:cs="Times New Roman"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>orzeczenie w tym przedmiocie wydaje odpowiednio sąd odwoławczy, a w zakresie dodatkowego ustalenia wysokości kosztów jedynie referendarz sądowy właściwego sądu</w:t>
      </w:r>
    </w:p>
    <w:p w:rsidR="00A878BE" w:rsidRPr="00A878BE" w:rsidRDefault="00A878BE" w:rsidP="00A878BE">
      <w:pPr>
        <w:pStyle w:val="Akapitzlist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spacing w:after="0" w:line="276" w:lineRule="auto"/>
        <w:ind w:left="1800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ind w:left="1494"/>
        <w:contextualSpacing/>
        <w:rPr>
          <w:rFonts w:cs="Times New Roman"/>
          <w:szCs w:val="24"/>
        </w:rPr>
      </w:pPr>
    </w:p>
    <w:p w:rsidR="00A878BE" w:rsidRPr="008B1EB4" w:rsidRDefault="00A878BE" w:rsidP="00A878BE">
      <w:pPr>
        <w:numPr>
          <w:ilvl w:val="0"/>
          <w:numId w:val="3"/>
        </w:numPr>
        <w:spacing w:after="0" w:line="276" w:lineRule="auto"/>
        <w:ind w:left="1380"/>
        <w:contextualSpacing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 xml:space="preserve">Zgodnie z Kodeksem postępowania karnego sąd może zwolnić w całości lub w </w:t>
      </w:r>
      <w:r w:rsidRPr="008B1EB4">
        <w:rPr>
          <w:rFonts w:cs="Times New Roman"/>
          <w:bCs/>
          <w:szCs w:val="24"/>
        </w:rPr>
        <w:t>części od zapłaty na rzecz Skarbu Państwa kosztów sądowych:</w:t>
      </w:r>
    </w:p>
    <w:p w:rsidR="00A878BE" w:rsidRPr="00A878BE" w:rsidRDefault="00A878BE" w:rsidP="00A878BE">
      <w:pPr>
        <w:spacing w:after="0" w:line="276" w:lineRule="auto"/>
        <w:ind w:left="1080"/>
        <w:contextualSpacing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bCs/>
          <w:szCs w:val="24"/>
        </w:rPr>
        <w:t xml:space="preserve"> jeżeli istnieją podstawy do uznania, że uiszczenie ich byłoby dla niego zbyt uciążliwe ze względu na sytuację rodzinną, majątkową i wysokość dochodów, jak również wtedy, gdy przemawiają za tym względy słuszności, jeżeli został złożony taki wniosek przez oskarżonego do zakończenia przewodu sądowego na ostatniej rozprawie</w:t>
      </w:r>
    </w:p>
    <w:p w:rsidR="00A878BE" w:rsidRPr="00A878BE" w:rsidRDefault="00A878BE" w:rsidP="00A878BE">
      <w:pPr>
        <w:pStyle w:val="Akapitzlist"/>
        <w:spacing w:after="0" w:line="276" w:lineRule="auto"/>
        <w:ind w:left="1800"/>
        <w:jc w:val="both"/>
        <w:rPr>
          <w:rFonts w:cs="Times New Roman"/>
          <w:bCs/>
          <w:szCs w:val="24"/>
        </w:rPr>
      </w:pPr>
    </w:p>
    <w:p w:rsidR="00A878BE" w:rsidRPr="00A878BE" w:rsidRDefault="00A878BE" w:rsidP="00A878BE">
      <w:pPr>
        <w:pStyle w:val="Akapitzlist"/>
        <w:numPr>
          <w:ilvl w:val="1"/>
          <w:numId w:val="3"/>
        </w:numPr>
        <w:spacing w:after="0" w:line="276" w:lineRule="auto"/>
        <w:jc w:val="both"/>
        <w:rPr>
          <w:rFonts w:cs="Times New Roman"/>
          <w:bCs/>
          <w:szCs w:val="24"/>
        </w:rPr>
      </w:pPr>
      <w:r w:rsidRPr="00A878BE">
        <w:rPr>
          <w:rFonts w:cs="Times New Roman"/>
          <w:szCs w:val="24"/>
        </w:rPr>
        <w:t>jeżeli istnieją podstawy do uznania, że uiszczenie ich byłoby dla niego zbyt uciążliwe ze względu na sytuację rodzinną, majątkową i wysokość dochodów, jak również wtedy, gdy przemawiają za tym względy słuszności</w:t>
      </w:r>
    </w:p>
    <w:p w:rsidR="00A878BE" w:rsidRPr="00A878BE" w:rsidRDefault="00A878BE" w:rsidP="00A878BE">
      <w:pPr>
        <w:pStyle w:val="Akapitzlist"/>
        <w:ind w:left="1494"/>
        <w:jc w:val="both"/>
        <w:rPr>
          <w:rFonts w:cs="Times New Roman"/>
          <w:szCs w:val="24"/>
        </w:rPr>
      </w:pPr>
    </w:p>
    <w:p w:rsidR="005D213A" w:rsidRPr="00EA433C" w:rsidRDefault="005D213A" w:rsidP="005D213A">
      <w:pPr>
        <w:pStyle w:val="Akapitzlist"/>
        <w:numPr>
          <w:ilvl w:val="1"/>
          <w:numId w:val="3"/>
        </w:numPr>
        <w:jc w:val="both"/>
        <w:rPr>
          <w:rFonts w:cs="Times New Roman"/>
          <w:szCs w:val="24"/>
        </w:rPr>
      </w:pPr>
      <w:r w:rsidRPr="00EA433C">
        <w:rPr>
          <w:rFonts w:cs="Times New Roman"/>
          <w:szCs w:val="24"/>
        </w:rPr>
        <w:t>jeżeli istnieją podstawy do uznania, że</w:t>
      </w:r>
      <w:r>
        <w:rPr>
          <w:rFonts w:cs="Times New Roman"/>
          <w:szCs w:val="24"/>
        </w:rPr>
        <w:t xml:space="preserve"> uiszczenie ich byłoby dla niego </w:t>
      </w:r>
      <w:r w:rsidRPr="00EA433C">
        <w:rPr>
          <w:rFonts w:cs="Times New Roman"/>
          <w:szCs w:val="24"/>
        </w:rPr>
        <w:t>zbyt uciążliwe ze względu na sytuację rodzinną, majątkową i wysokość dochodów, jak również wtedy, gdy przemawiają za tym względy słuszności</w:t>
      </w:r>
      <w:r>
        <w:rPr>
          <w:rFonts w:cs="Times New Roman"/>
          <w:szCs w:val="24"/>
        </w:rPr>
        <w:t>, jeżeli wniosek taki złożył oskarżyciel .</w:t>
      </w:r>
    </w:p>
    <w:p w:rsidR="005D213A" w:rsidRPr="007B1FC3" w:rsidRDefault="005D213A" w:rsidP="005D213A">
      <w:pPr>
        <w:spacing w:after="0" w:line="276" w:lineRule="auto"/>
        <w:jc w:val="both"/>
        <w:rPr>
          <w:rFonts w:cs="Times New Roman"/>
          <w:szCs w:val="24"/>
          <w:highlight w:val="yellow"/>
        </w:rPr>
      </w:pPr>
    </w:p>
    <w:p w:rsidR="00A878BE" w:rsidRPr="00A878BE" w:rsidRDefault="00A878BE" w:rsidP="00A878BE">
      <w:pPr>
        <w:spacing w:after="0" w:line="240" w:lineRule="auto"/>
        <w:jc w:val="both"/>
        <w:rPr>
          <w:rFonts w:cs="Times New Roman"/>
          <w:szCs w:val="24"/>
        </w:rPr>
      </w:pPr>
    </w:p>
    <w:p w:rsidR="00A878BE" w:rsidRDefault="00A878BE" w:rsidP="00A878BE">
      <w:pPr>
        <w:spacing w:after="0" w:line="240" w:lineRule="auto"/>
        <w:jc w:val="both"/>
        <w:rPr>
          <w:rFonts w:cs="Times New Roman"/>
          <w:szCs w:val="24"/>
        </w:rPr>
      </w:pPr>
    </w:p>
    <w:p w:rsidR="00A878BE" w:rsidRDefault="00A878BE" w:rsidP="00A878BE">
      <w:pPr>
        <w:spacing w:after="0" w:line="240" w:lineRule="auto"/>
        <w:jc w:val="both"/>
        <w:rPr>
          <w:rFonts w:cs="Times New Roman"/>
          <w:szCs w:val="24"/>
        </w:rPr>
      </w:pPr>
    </w:p>
    <w:p w:rsidR="00A878BE" w:rsidRDefault="00A878BE" w:rsidP="00A878BE">
      <w:pPr>
        <w:spacing w:after="0" w:line="240" w:lineRule="auto"/>
        <w:jc w:val="both"/>
        <w:rPr>
          <w:rFonts w:cs="Times New Roman"/>
          <w:szCs w:val="24"/>
        </w:rPr>
      </w:pPr>
    </w:p>
    <w:p w:rsidR="00A878BE" w:rsidRDefault="00A878BE" w:rsidP="00A878BE">
      <w:pPr>
        <w:spacing w:after="0" w:line="240" w:lineRule="auto"/>
        <w:jc w:val="both"/>
        <w:rPr>
          <w:rFonts w:cs="Times New Roman"/>
          <w:szCs w:val="24"/>
        </w:rPr>
      </w:pPr>
    </w:p>
    <w:p w:rsidR="00A878BE" w:rsidRDefault="00A878BE" w:rsidP="00A878BE">
      <w:pPr>
        <w:spacing w:after="0" w:line="240" w:lineRule="auto"/>
        <w:jc w:val="both"/>
        <w:rPr>
          <w:rFonts w:cs="Times New Roman"/>
          <w:szCs w:val="24"/>
        </w:rPr>
      </w:pPr>
    </w:p>
    <w:p w:rsidR="00B92489" w:rsidRPr="00A878BE" w:rsidRDefault="00B92489"/>
    <w:sectPr w:rsidR="00B92489" w:rsidRPr="00A878BE" w:rsidSect="00EF070F">
      <w:foot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FA1" w:rsidRDefault="00C27FA1">
      <w:pPr>
        <w:spacing w:after="0" w:line="240" w:lineRule="auto"/>
      </w:pPr>
      <w:r>
        <w:separator/>
      </w:r>
    </w:p>
  </w:endnote>
  <w:endnote w:type="continuationSeparator" w:id="0">
    <w:p w:rsidR="00C27FA1" w:rsidRDefault="00C27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112697"/>
      <w:docPartObj>
        <w:docPartGallery w:val="Page Numbers (Bottom of Page)"/>
        <w:docPartUnique/>
      </w:docPartObj>
    </w:sdtPr>
    <w:sdtEndPr/>
    <w:sdtContent>
      <w:p w:rsidR="0079497F" w:rsidRDefault="00A878B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04D">
          <w:rPr>
            <w:noProof/>
          </w:rPr>
          <w:t>4</w:t>
        </w:r>
        <w:r>
          <w:fldChar w:fldCharType="end"/>
        </w:r>
      </w:p>
    </w:sdtContent>
  </w:sdt>
  <w:p w:rsidR="0056798F" w:rsidRDefault="00C27F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FA1" w:rsidRDefault="00C27FA1">
      <w:pPr>
        <w:spacing w:after="0" w:line="240" w:lineRule="auto"/>
      </w:pPr>
      <w:r>
        <w:separator/>
      </w:r>
    </w:p>
  </w:footnote>
  <w:footnote w:type="continuationSeparator" w:id="0">
    <w:p w:rsidR="00C27FA1" w:rsidRDefault="00C27F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C72D5"/>
    <w:multiLevelType w:val="hybridMultilevel"/>
    <w:tmpl w:val="DFA4436A"/>
    <w:lvl w:ilvl="0" w:tplc="9DEA872E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D2E8A"/>
    <w:multiLevelType w:val="hybridMultilevel"/>
    <w:tmpl w:val="85D00B80"/>
    <w:lvl w:ilvl="0" w:tplc="D73A62EC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304B6532"/>
    <w:multiLevelType w:val="hybridMultilevel"/>
    <w:tmpl w:val="1F2AD866"/>
    <w:lvl w:ilvl="0" w:tplc="BA2E2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5D02734">
      <w:start w:val="1"/>
      <w:numFmt w:val="lowerLetter"/>
      <w:lvlText w:val="%2."/>
      <w:lvlJc w:val="left"/>
      <w:pPr>
        <w:ind w:left="1494" w:hanging="360"/>
      </w:pPr>
      <w:rPr>
        <w:b w:val="0"/>
      </w:rPr>
    </w:lvl>
    <w:lvl w:ilvl="2" w:tplc="660AEF1C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D712C"/>
    <w:multiLevelType w:val="hybridMultilevel"/>
    <w:tmpl w:val="8820D67E"/>
    <w:lvl w:ilvl="0" w:tplc="C590BDEA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61956F05"/>
    <w:multiLevelType w:val="hybridMultilevel"/>
    <w:tmpl w:val="C96495D6"/>
    <w:lvl w:ilvl="0" w:tplc="5330BA68">
      <w:start w:val="1"/>
      <w:numFmt w:val="lowerLetter"/>
      <w:lvlText w:val="%1."/>
      <w:lvlJc w:val="left"/>
      <w:pPr>
        <w:ind w:left="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40" w:hanging="360"/>
      </w:pPr>
    </w:lvl>
    <w:lvl w:ilvl="2" w:tplc="0415001B" w:tentative="1">
      <w:start w:val="1"/>
      <w:numFmt w:val="lowerRoman"/>
      <w:lvlText w:val="%3."/>
      <w:lvlJc w:val="right"/>
      <w:pPr>
        <w:ind w:left="1460" w:hanging="180"/>
      </w:pPr>
    </w:lvl>
    <w:lvl w:ilvl="3" w:tplc="0415000F" w:tentative="1">
      <w:start w:val="1"/>
      <w:numFmt w:val="decimal"/>
      <w:lvlText w:val="%4."/>
      <w:lvlJc w:val="left"/>
      <w:pPr>
        <w:ind w:left="2180" w:hanging="360"/>
      </w:pPr>
    </w:lvl>
    <w:lvl w:ilvl="4" w:tplc="04150019" w:tentative="1">
      <w:start w:val="1"/>
      <w:numFmt w:val="lowerLetter"/>
      <w:lvlText w:val="%5."/>
      <w:lvlJc w:val="left"/>
      <w:pPr>
        <w:ind w:left="2900" w:hanging="360"/>
      </w:pPr>
    </w:lvl>
    <w:lvl w:ilvl="5" w:tplc="0415001B" w:tentative="1">
      <w:start w:val="1"/>
      <w:numFmt w:val="lowerRoman"/>
      <w:lvlText w:val="%6."/>
      <w:lvlJc w:val="right"/>
      <w:pPr>
        <w:ind w:left="3620" w:hanging="180"/>
      </w:pPr>
    </w:lvl>
    <w:lvl w:ilvl="6" w:tplc="0415000F" w:tentative="1">
      <w:start w:val="1"/>
      <w:numFmt w:val="decimal"/>
      <w:lvlText w:val="%7."/>
      <w:lvlJc w:val="left"/>
      <w:pPr>
        <w:ind w:left="4340" w:hanging="360"/>
      </w:pPr>
    </w:lvl>
    <w:lvl w:ilvl="7" w:tplc="04150019" w:tentative="1">
      <w:start w:val="1"/>
      <w:numFmt w:val="lowerLetter"/>
      <w:lvlText w:val="%8."/>
      <w:lvlJc w:val="left"/>
      <w:pPr>
        <w:ind w:left="5060" w:hanging="360"/>
      </w:pPr>
    </w:lvl>
    <w:lvl w:ilvl="8" w:tplc="0415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5" w15:restartNumberingAfterBreak="0">
    <w:nsid w:val="65C917B9"/>
    <w:multiLevelType w:val="hybridMultilevel"/>
    <w:tmpl w:val="79BC7C5E"/>
    <w:lvl w:ilvl="0" w:tplc="AE904E00">
      <w:start w:val="1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6DAE4A10">
      <w:start w:val="1"/>
      <w:numFmt w:val="lowerLetter"/>
      <w:lvlText w:val="%2."/>
      <w:lvlJc w:val="left"/>
      <w:pPr>
        <w:ind w:left="179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7497181C"/>
    <w:multiLevelType w:val="hybridMultilevel"/>
    <w:tmpl w:val="67D85CC0"/>
    <w:lvl w:ilvl="0" w:tplc="903CEF4A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81E6E78"/>
    <w:multiLevelType w:val="hybridMultilevel"/>
    <w:tmpl w:val="946C7038"/>
    <w:lvl w:ilvl="0" w:tplc="72F0DE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E36391"/>
    <w:multiLevelType w:val="hybridMultilevel"/>
    <w:tmpl w:val="9E744C48"/>
    <w:lvl w:ilvl="0" w:tplc="F6AA683E">
      <w:start w:val="1"/>
      <w:numFmt w:val="lowerLetter"/>
      <w:lvlText w:val="%1."/>
      <w:lvlJc w:val="left"/>
      <w:pPr>
        <w:ind w:left="1854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8BE"/>
    <w:rsid w:val="00407214"/>
    <w:rsid w:val="004611DB"/>
    <w:rsid w:val="00471637"/>
    <w:rsid w:val="005D213A"/>
    <w:rsid w:val="006268F6"/>
    <w:rsid w:val="007728DC"/>
    <w:rsid w:val="008B1EB4"/>
    <w:rsid w:val="00A878BE"/>
    <w:rsid w:val="00B92489"/>
    <w:rsid w:val="00C27FA1"/>
    <w:rsid w:val="00EF070F"/>
    <w:rsid w:val="00FC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88F6"/>
  <w15:chartTrackingRefBased/>
  <w15:docId w15:val="{98DA9D50-72FB-4530-AB0D-61B54E51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78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8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78BE"/>
  </w:style>
  <w:style w:type="paragraph" w:styleId="Akapitzlist">
    <w:name w:val="List Paragraph"/>
    <w:basedOn w:val="Normalny"/>
    <w:uiPriority w:val="34"/>
    <w:qFormat/>
    <w:rsid w:val="00A878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26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8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1620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2</cp:revision>
  <cp:lastPrinted>2024-12-06T12:41:00Z</cp:lastPrinted>
  <dcterms:created xsi:type="dcterms:W3CDTF">2024-12-06T12:42:00Z</dcterms:created>
  <dcterms:modified xsi:type="dcterms:W3CDTF">2024-12-06T12:42:00Z</dcterms:modified>
</cp:coreProperties>
</file>