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FD" w:rsidRDefault="00DD63FD" w:rsidP="00DD63FD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Leszno, dnia 14 marca 2025r.</w:t>
      </w:r>
    </w:p>
    <w:p w:rsidR="00DD63FD" w:rsidRDefault="00DD63FD" w:rsidP="00DD63FD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</w:p>
    <w:p w:rsidR="00DD63FD" w:rsidRDefault="00DD63FD" w:rsidP="00DD63FD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DD63FD" w:rsidRDefault="00DD63FD" w:rsidP="00DD63FD">
      <w:pPr>
        <w:spacing w:after="0" w:line="276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KONKURS NA STANOWISKO ASYSTENTA SĘDZIEGO NR 4/2024</w:t>
      </w:r>
    </w:p>
    <w:p w:rsidR="00DD63FD" w:rsidRDefault="00DD63FD" w:rsidP="00DD63FD">
      <w:pPr>
        <w:spacing w:after="0" w:line="276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II ETAP KONKURSU</w:t>
      </w:r>
    </w:p>
    <w:p w:rsidR="00DD63FD" w:rsidRDefault="00DD63FD" w:rsidP="00DD63FD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DD63FD" w:rsidRDefault="00DD63FD" w:rsidP="00DD63FD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TEST -</w:t>
      </w:r>
      <w:r>
        <w:rPr>
          <w:rFonts w:eastAsia="Times New Roman" w:cs="Times New Roman"/>
          <w:b/>
          <w:bCs/>
          <w:szCs w:val="24"/>
          <w:lang w:eastAsia="pl-PL"/>
        </w:rPr>
        <w:t xml:space="preserve"> blok karny</w:t>
      </w:r>
    </w:p>
    <w:p w:rsidR="00DD63FD" w:rsidRDefault="00DD63FD" w:rsidP="00DD63F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DD63FD" w:rsidRDefault="00DD63FD" w:rsidP="00DD63F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DD63FD" w:rsidRDefault="00DD63FD" w:rsidP="00DD63F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DD63FD" w:rsidRPr="008007CB" w:rsidRDefault="00DD63FD" w:rsidP="00DD63FD">
      <w:pPr>
        <w:spacing w:after="0" w:line="240" w:lineRule="auto"/>
        <w:rPr>
          <w:rFonts w:eastAsia="Times New Roman" w:cs="Times New Roman"/>
          <w:szCs w:val="24"/>
          <w:lang w:eastAsia="pl-PL"/>
        </w:rPr>
      </w:pPr>
    </w:p>
    <w:p w:rsidR="00D257FA" w:rsidRPr="005A7888" w:rsidRDefault="00D257FA" w:rsidP="00D257FA">
      <w:pPr>
        <w:keepNext/>
        <w:spacing w:after="0" w:line="240" w:lineRule="auto"/>
        <w:ind w:left="2832" w:right="-828" w:firstLine="708"/>
        <w:jc w:val="both"/>
        <w:outlineLvl w:val="0"/>
        <w:rPr>
          <w:rFonts w:eastAsia="Times New Roman" w:cs="Times New Roman"/>
          <w:b/>
          <w:bCs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b/>
          <w:szCs w:val="24"/>
        </w:rPr>
      </w:pPr>
      <w:r w:rsidRPr="005A7888">
        <w:rPr>
          <w:rFonts w:cs="Times New Roman"/>
          <w:b/>
          <w:szCs w:val="24"/>
        </w:rPr>
        <w:t>W myśl art. 1 § 2 k.k., nie stanowi przestępstwa czyn zabroniony, którego społeczna szkodliwość jest: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 xml:space="preserve">nieznaczna, 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niewielka,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znikoma.</w:t>
      </w:r>
    </w:p>
    <w:p w:rsidR="00D257FA" w:rsidRPr="00D257FA" w:rsidRDefault="00D257FA" w:rsidP="00D257FA">
      <w:pPr>
        <w:spacing w:after="0" w:line="360" w:lineRule="auto"/>
        <w:ind w:left="644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Przestępstwo z art. 278§1 kk jest przestępstwem popełnionym:</w:t>
      </w:r>
    </w:p>
    <w:p w:rsidR="00D257FA" w:rsidRPr="00D257FA" w:rsidRDefault="00D257FA" w:rsidP="00D257FA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jedynie umyślnie,</w:t>
      </w:r>
    </w:p>
    <w:p w:rsidR="00D257FA" w:rsidRPr="00D257FA" w:rsidRDefault="00D257FA" w:rsidP="00D257FA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jedynie nieumyślnie,</w:t>
      </w:r>
    </w:p>
    <w:p w:rsidR="00D257FA" w:rsidRPr="00D257FA" w:rsidRDefault="00D257FA" w:rsidP="00D257FA">
      <w:pPr>
        <w:numPr>
          <w:ilvl w:val="0"/>
          <w:numId w:val="1"/>
        </w:numPr>
        <w:tabs>
          <w:tab w:val="left" w:pos="7655"/>
        </w:tabs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umyślnie lub nieumyślnie. </w:t>
      </w:r>
    </w:p>
    <w:p w:rsidR="00D257FA" w:rsidRPr="00D257FA" w:rsidRDefault="00D257FA" w:rsidP="00D257FA">
      <w:pPr>
        <w:spacing w:after="0" w:line="36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Wydanie wyroku nakazowego jest niedopuszczalne:</w:t>
      </w:r>
    </w:p>
    <w:p w:rsidR="00D257FA" w:rsidRPr="00D257FA" w:rsidRDefault="00D257FA" w:rsidP="00D257FA">
      <w:pPr>
        <w:spacing w:after="0" w:line="360" w:lineRule="auto"/>
        <w:ind w:left="644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a.  w stosunku do sprawcy młodocianego,</w:t>
      </w:r>
    </w:p>
    <w:p w:rsidR="00D257FA" w:rsidRPr="00D257FA" w:rsidRDefault="00D257FA" w:rsidP="00D257FA">
      <w:pPr>
        <w:spacing w:after="0" w:line="360" w:lineRule="auto"/>
        <w:ind w:left="644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b.  w stosunku do oskarżonego uprzednio skazanego za przestępstwo umyślne,</w:t>
      </w:r>
    </w:p>
    <w:p w:rsidR="00D257FA" w:rsidRPr="00D257FA" w:rsidRDefault="00D257FA" w:rsidP="00D257FA">
      <w:pPr>
        <w:spacing w:after="0" w:line="360" w:lineRule="auto"/>
        <w:ind w:left="644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c. w sprawie z oskarżenia prywatnego.</w:t>
      </w:r>
    </w:p>
    <w:p w:rsidR="00D257FA" w:rsidRPr="00D257FA" w:rsidRDefault="00D257FA" w:rsidP="00D257FA">
      <w:pPr>
        <w:spacing w:after="0" w:line="360" w:lineRule="auto"/>
        <w:ind w:right="-828"/>
        <w:jc w:val="both"/>
        <w:rPr>
          <w:rFonts w:eastAsia="Times New Roman" w:cs="Times New Roman"/>
          <w:color w:val="FF0000"/>
          <w:szCs w:val="24"/>
          <w:lang w:eastAsia="pl-PL"/>
        </w:rPr>
      </w:pPr>
      <w:r w:rsidRPr="00D257FA">
        <w:rPr>
          <w:rFonts w:eastAsia="Times New Roman" w:cs="Times New Roman"/>
          <w:color w:val="FF0000"/>
          <w:szCs w:val="24"/>
          <w:lang w:eastAsia="pl-PL"/>
        </w:rPr>
        <w:t xml:space="preserve"> </w:t>
      </w:r>
    </w:p>
    <w:p w:rsidR="00D257FA" w:rsidRPr="005A7888" w:rsidRDefault="00D257FA" w:rsidP="00D257FA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Osoba uprawniona do odmowy składania zeznań w postępowaniu karnym może z tego prawa skorzystać:</w:t>
      </w:r>
    </w:p>
    <w:p w:rsidR="00D257FA" w:rsidRPr="00D257FA" w:rsidRDefault="00D257FA" w:rsidP="00D257FA">
      <w:pPr>
        <w:spacing w:after="0" w:line="360" w:lineRule="auto"/>
        <w:ind w:left="644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a.  nie później niż przed otwarciem przewodu sądowego, </w:t>
      </w:r>
    </w:p>
    <w:p w:rsidR="00D257FA" w:rsidRPr="00D257FA" w:rsidRDefault="00D257FA" w:rsidP="00D257FA">
      <w:pPr>
        <w:spacing w:after="0" w:line="360" w:lineRule="auto"/>
        <w:ind w:left="644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b.  nie później niż przed rozpoczęciem pierwszego zeznania w postępowaniu sądowym,</w:t>
      </w:r>
    </w:p>
    <w:p w:rsidR="00D257FA" w:rsidRPr="00D257FA" w:rsidRDefault="00D257FA" w:rsidP="00D257FA">
      <w:pPr>
        <w:spacing w:after="0" w:line="360" w:lineRule="auto"/>
        <w:ind w:left="644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c.  nie później niż przed zakończeniem składania pierwszych zeznań</w:t>
      </w:r>
      <w:r w:rsidRPr="00D257FA">
        <w:t xml:space="preserve"> </w:t>
      </w:r>
      <w:r w:rsidRPr="00D257FA">
        <w:rPr>
          <w:rFonts w:eastAsia="Times New Roman" w:cs="Times New Roman"/>
          <w:szCs w:val="24"/>
          <w:lang w:eastAsia="pl-PL"/>
        </w:rPr>
        <w:t>w postępowaniu sądowym.</w:t>
      </w:r>
    </w:p>
    <w:p w:rsidR="005A7888" w:rsidRPr="00D257FA" w:rsidRDefault="005A7888" w:rsidP="00D257FA">
      <w:pPr>
        <w:spacing w:after="0" w:line="360" w:lineRule="auto"/>
        <w:ind w:left="644" w:right="-828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 w:rsidRPr="005A7888">
        <w:rPr>
          <w:rFonts w:eastAsia="Calibri" w:cs="Times New Roman"/>
          <w:b/>
          <w:szCs w:val="24"/>
        </w:rPr>
        <w:t>Który z poniżej przedstawionych warunków jest przesłanką ustawową do zaistnienia recydywy z art. 64 § 1 k.k.:</w:t>
      </w:r>
    </w:p>
    <w:p w:rsidR="00D257FA" w:rsidRPr="005A7888" w:rsidRDefault="00D257FA" w:rsidP="00D257FA">
      <w:pPr>
        <w:spacing w:after="0" w:line="276" w:lineRule="auto"/>
        <w:ind w:left="644"/>
        <w:contextualSpacing/>
        <w:jc w:val="both"/>
        <w:rPr>
          <w:rFonts w:eastAsia="Calibri" w:cs="Times New Roman"/>
          <w:b/>
          <w:szCs w:val="24"/>
        </w:rPr>
      </w:pP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ind w:left="1134" w:hanging="425"/>
        <w:contextualSpacing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popełnienie przestępstwa w ciągu 1 roku od opuszczenia zakładu karnego,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ind w:left="1134" w:hanging="425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popełnienie przestępstwa w okresie warunkowego zawieszenia wykonania kary pozbawienia wolności,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ind w:left="1134" w:hanging="425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odbycie co najmniej 6 miesięcy kary pozbawienia wolności za przestępstwo umyślne.</w:t>
      </w:r>
    </w:p>
    <w:p w:rsidR="00D257FA" w:rsidRPr="00D257FA" w:rsidRDefault="00D257FA" w:rsidP="00D257FA">
      <w:pPr>
        <w:spacing w:after="0" w:line="360" w:lineRule="auto"/>
        <w:ind w:right="-828"/>
        <w:contextualSpacing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360" w:lineRule="auto"/>
        <w:ind w:right="-828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 xml:space="preserve">Akt oskarżenia: </w:t>
      </w:r>
    </w:p>
    <w:p w:rsidR="00D257FA" w:rsidRPr="00D257FA" w:rsidRDefault="00D257FA" w:rsidP="00D257FA">
      <w:pPr>
        <w:numPr>
          <w:ilvl w:val="1"/>
          <w:numId w:val="2"/>
        </w:numPr>
        <w:tabs>
          <w:tab w:val="num" w:pos="1353"/>
        </w:tabs>
        <w:spacing w:after="0" w:line="360" w:lineRule="auto"/>
        <w:ind w:left="993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podlega odrzuceniu, gdy zawiera braki formalne,</w:t>
      </w:r>
    </w:p>
    <w:p w:rsidR="00D257FA" w:rsidRPr="00D257FA" w:rsidRDefault="00D257FA" w:rsidP="00D257FA">
      <w:pPr>
        <w:numPr>
          <w:ilvl w:val="1"/>
          <w:numId w:val="2"/>
        </w:numPr>
        <w:tabs>
          <w:tab w:val="num" w:pos="1353"/>
        </w:tabs>
        <w:spacing w:after="0" w:line="360" w:lineRule="auto"/>
        <w:ind w:left="993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zawsze musi mieć uzasadnienie,</w:t>
      </w:r>
    </w:p>
    <w:p w:rsidR="00D257FA" w:rsidRPr="00D257FA" w:rsidRDefault="00D257FA" w:rsidP="00D257FA">
      <w:pPr>
        <w:numPr>
          <w:ilvl w:val="1"/>
          <w:numId w:val="2"/>
        </w:numPr>
        <w:tabs>
          <w:tab w:val="num" w:pos="1353"/>
        </w:tabs>
        <w:spacing w:after="0" w:line="360" w:lineRule="auto"/>
        <w:ind w:left="993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może zawierać wniosek o wydanie wyroku skazującego bez przeprowadzenia rozprawy w trybie art. 335§2kpk.</w:t>
      </w:r>
    </w:p>
    <w:p w:rsidR="00D257FA" w:rsidRPr="00D257FA" w:rsidRDefault="00D257FA" w:rsidP="00D257FA">
      <w:pPr>
        <w:spacing w:after="0" w:line="360" w:lineRule="auto"/>
        <w:ind w:left="1080" w:right="-828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360" w:lineRule="auto"/>
        <w:ind w:right="-828"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Kara łączna:</w:t>
      </w:r>
    </w:p>
    <w:p w:rsidR="00D257FA" w:rsidRPr="00D257FA" w:rsidRDefault="00D257FA" w:rsidP="00D257FA">
      <w:pPr>
        <w:numPr>
          <w:ilvl w:val="1"/>
          <w:numId w:val="2"/>
        </w:numPr>
        <w:tabs>
          <w:tab w:val="num" w:pos="1353"/>
        </w:tabs>
        <w:spacing w:after="0" w:line="360" w:lineRule="auto"/>
        <w:ind w:left="993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 jest orzekana jedynie w wyroku jednostkowym </w:t>
      </w:r>
    </w:p>
    <w:p w:rsidR="00D257FA" w:rsidRPr="00D257FA" w:rsidRDefault="00D257FA" w:rsidP="00D257FA">
      <w:pPr>
        <w:numPr>
          <w:ilvl w:val="1"/>
          <w:numId w:val="2"/>
        </w:numPr>
        <w:tabs>
          <w:tab w:val="num" w:pos="1353"/>
        </w:tabs>
        <w:spacing w:after="0" w:line="360" w:lineRule="auto"/>
        <w:ind w:left="993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jest orzekana  wyłącznie w wyroku łącznym,</w:t>
      </w:r>
    </w:p>
    <w:p w:rsidR="00D257FA" w:rsidRPr="00D257FA" w:rsidRDefault="00D257FA" w:rsidP="00D257FA">
      <w:pPr>
        <w:numPr>
          <w:ilvl w:val="1"/>
          <w:numId w:val="2"/>
        </w:numPr>
        <w:tabs>
          <w:tab w:val="num" w:pos="1353"/>
        </w:tabs>
        <w:spacing w:after="0" w:line="360" w:lineRule="auto"/>
        <w:ind w:left="993" w:right="-828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jest orzekana zarówno w wyroku jednostkowym  jak w  wyroku łącznym. </w:t>
      </w:r>
    </w:p>
    <w:p w:rsidR="00D257FA" w:rsidRPr="00D257FA" w:rsidRDefault="00D257FA" w:rsidP="00D257FA">
      <w:pPr>
        <w:spacing w:after="0" w:line="360" w:lineRule="auto"/>
        <w:ind w:left="993" w:right="-828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2"/>
        </w:numPr>
        <w:spacing w:after="0" w:line="360" w:lineRule="auto"/>
        <w:ind w:right="-828"/>
        <w:contextualSpacing/>
        <w:jc w:val="both"/>
        <w:rPr>
          <w:rFonts w:eastAsia="Times New Roman" w:cs="Times New Roman"/>
          <w:b/>
          <w:color w:val="FF0000"/>
          <w:szCs w:val="24"/>
          <w:lang w:eastAsia="pl-PL"/>
        </w:rPr>
      </w:pPr>
      <w:r w:rsidRPr="005A7888">
        <w:rPr>
          <w:rFonts w:cs="Times New Roman"/>
          <w:b/>
          <w:szCs w:val="24"/>
        </w:rPr>
        <w:t>Zgodnie z Kodeksem karnym w razie zarządzenia wykonania kary grzywna orzeczona na podstawie art. 71 § 1 kk:</w:t>
      </w:r>
    </w:p>
    <w:p w:rsidR="00D257FA" w:rsidRPr="00D257FA" w:rsidRDefault="00D257FA" w:rsidP="00D257FA">
      <w:pPr>
        <w:spacing w:after="0" w:line="276" w:lineRule="auto"/>
        <w:ind w:left="850"/>
        <w:contextualSpacing/>
        <w:jc w:val="both"/>
        <w:rPr>
          <w:rFonts w:cs="Times New Roman"/>
          <w:szCs w:val="24"/>
        </w:rPr>
      </w:pPr>
    </w:p>
    <w:p w:rsidR="00D257FA" w:rsidRPr="00D257FA" w:rsidRDefault="00D257FA" w:rsidP="00D257FA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nie podlega wykonaniu, a zarządzona kara pozbawienia wolności ulega skróceniu o okres odpowiadający połowie liczby uiszczonych stawek dziennych grzywny z zaokrągleniem w górę do pełnego dnia,</w:t>
      </w:r>
    </w:p>
    <w:p w:rsidR="00D257FA" w:rsidRPr="00D257FA" w:rsidRDefault="00D257FA" w:rsidP="00D257FA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podlega wykonaniu, a zarządzona kara pozbawienia wolności nie ulega skróceniu,</w:t>
      </w:r>
    </w:p>
    <w:p w:rsidR="00D257FA" w:rsidRPr="00D257FA" w:rsidRDefault="00D257FA" w:rsidP="00D257FA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nie podlega wykonaniu, a zarządzona kara pozbawienia wolności ulega skróceniu o okres odpowiadający liczbie uiszczonych stawek dziennych grzywny z zaokrągleniem w górę do pełnego dnia.</w:t>
      </w:r>
    </w:p>
    <w:p w:rsidR="00D257FA" w:rsidRPr="00D257FA" w:rsidRDefault="00D257FA" w:rsidP="00D257FA">
      <w:pPr>
        <w:spacing w:after="0" w:line="276" w:lineRule="auto"/>
        <w:jc w:val="both"/>
        <w:rPr>
          <w:rFonts w:cs="Times New Roman"/>
          <w:szCs w:val="24"/>
        </w:rPr>
      </w:pPr>
    </w:p>
    <w:p w:rsidR="00D257FA" w:rsidRPr="005A7888" w:rsidRDefault="00D257FA" w:rsidP="00D257FA">
      <w:pPr>
        <w:spacing w:after="0" w:line="276" w:lineRule="auto"/>
        <w:ind w:left="454"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9. Jeżeli czyn wyczerpuje znamiona określone w dwóch albo więcej przepisach ustawy karnej:</w:t>
      </w:r>
    </w:p>
    <w:p w:rsidR="00D257FA" w:rsidRPr="00D257FA" w:rsidRDefault="00D257FA" w:rsidP="00D257FA">
      <w:pPr>
        <w:numPr>
          <w:ilvl w:val="1"/>
          <w:numId w:val="4"/>
        </w:numPr>
        <w:spacing w:after="0" w:line="360" w:lineRule="auto"/>
        <w:ind w:left="1020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sąd  wymierza karę na podstawie wszystkich zbiegających się przepisów,</w:t>
      </w:r>
    </w:p>
    <w:p w:rsidR="00D257FA" w:rsidRPr="00D257FA" w:rsidRDefault="00D257FA" w:rsidP="00D257FA">
      <w:pPr>
        <w:numPr>
          <w:ilvl w:val="1"/>
          <w:numId w:val="4"/>
        </w:numPr>
        <w:spacing w:after="0" w:line="360" w:lineRule="auto"/>
        <w:ind w:left="1020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sąd wymierza karę na podstawie przepisu przewidującego karę najsurowszą, ale nie orzeka środka karnego, jeśli wszystkie zbiegające przepisy go nie przewidują,</w:t>
      </w:r>
    </w:p>
    <w:p w:rsidR="00D257FA" w:rsidRPr="00D257FA" w:rsidRDefault="00D257FA" w:rsidP="00D257FA">
      <w:pPr>
        <w:numPr>
          <w:ilvl w:val="1"/>
          <w:numId w:val="4"/>
        </w:numPr>
        <w:spacing w:after="0" w:line="360" w:lineRule="auto"/>
        <w:ind w:left="1020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sąd wymierza karę na podstawie przepisu przewidującego karę najsurowszą, co nie stoi na przeszkodzie orzeczeniu innych środków przewidzianych w ustawie na podstawie wszystkich zbiegających się przepisów.</w:t>
      </w:r>
    </w:p>
    <w:p w:rsidR="00D257FA" w:rsidRPr="005A7888" w:rsidRDefault="00D257FA" w:rsidP="00D257FA">
      <w:pPr>
        <w:spacing w:after="0" w:line="276" w:lineRule="auto"/>
        <w:contextualSpacing/>
        <w:jc w:val="both"/>
        <w:rPr>
          <w:rFonts w:cs="Times New Roman"/>
          <w:b/>
          <w:szCs w:val="24"/>
          <w:highlight w:val="yellow"/>
        </w:rPr>
      </w:pPr>
    </w:p>
    <w:p w:rsidR="00D257FA" w:rsidRPr="005A7888" w:rsidRDefault="00D257FA" w:rsidP="00D257FA">
      <w:pPr>
        <w:numPr>
          <w:ilvl w:val="0"/>
          <w:numId w:val="5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5A7888">
        <w:rPr>
          <w:rFonts w:cs="Times New Roman"/>
          <w:b/>
          <w:szCs w:val="24"/>
        </w:rPr>
        <w:t>Zgodnie z Kodeksem karnym, nie podlega karze za usiłowanie, kto:</w:t>
      </w:r>
    </w:p>
    <w:p w:rsidR="00D257FA" w:rsidRPr="00D257FA" w:rsidRDefault="00D257FA" w:rsidP="00D257FA">
      <w:pPr>
        <w:spacing w:after="0" w:line="276" w:lineRule="auto"/>
        <w:ind w:left="644"/>
        <w:contextualSpacing/>
        <w:jc w:val="both"/>
        <w:rPr>
          <w:rFonts w:cs="Times New Roman"/>
          <w:szCs w:val="24"/>
        </w:rPr>
      </w:pP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ind w:left="1440" w:hanging="731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dobrowolnie odstąpił od dokonania i zapobiegł skutkowi stanowiącemu znamię czynu zabronionego,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ind w:left="1440" w:hanging="731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 xml:space="preserve">dobrowolnie odstąpił od dokonania lub zapobiegł skutkowi stanowiącemu znamię czynu zabronionego, </w:t>
      </w:r>
    </w:p>
    <w:p w:rsidR="00D257FA" w:rsidRPr="00D257FA" w:rsidRDefault="00D257FA" w:rsidP="00D257FA">
      <w:pPr>
        <w:numPr>
          <w:ilvl w:val="1"/>
          <w:numId w:val="2"/>
        </w:numPr>
        <w:spacing w:after="0" w:line="276" w:lineRule="auto"/>
        <w:ind w:left="1440" w:hanging="731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>dobrowolnie odstąpił od dokonania lub starał się zapobiec skutkowi stanowiącemu znamię czynu zabronionego.</w:t>
      </w:r>
    </w:p>
    <w:p w:rsidR="00D257FA" w:rsidRPr="00D257FA" w:rsidRDefault="00D257FA" w:rsidP="00D257FA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D257FA">
        <w:rPr>
          <w:rFonts w:cs="Times New Roman"/>
          <w:szCs w:val="24"/>
        </w:rPr>
        <w:t xml:space="preserve"> </w:t>
      </w:r>
    </w:p>
    <w:p w:rsidR="00D257FA" w:rsidRPr="005A7888" w:rsidRDefault="00D257FA" w:rsidP="00D257FA">
      <w:pPr>
        <w:spacing w:after="0" w:line="360" w:lineRule="auto"/>
        <w:ind w:left="786" w:right="-828"/>
        <w:jc w:val="both"/>
        <w:rPr>
          <w:rFonts w:eastAsia="Times New Roman" w:cs="Times New Roman"/>
          <w:b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5"/>
        </w:numPr>
        <w:spacing w:after="0" w:line="360" w:lineRule="auto"/>
        <w:ind w:right="-828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Sąd w postępowaniu karnym może przerwać rozprawę na czas:</w:t>
      </w:r>
    </w:p>
    <w:p w:rsidR="00D257FA" w:rsidRPr="00D257FA" w:rsidRDefault="00D257FA" w:rsidP="00D257FA">
      <w:pPr>
        <w:spacing w:after="0" w:line="360" w:lineRule="auto"/>
        <w:ind w:left="786" w:right="-828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a.  nie przekraczający 21 dni;</w:t>
      </w:r>
    </w:p>
    <w:p w:rsidR="00D257FA" w:rsidRPr="00D257FA" w:rsidRDefault="00D257FA" w:rsidP="00D257FA">
      <w:pPr>
        <w:spacing w:after="0" w:line="360" w:lineRule="auto"/>
        <w:ind w:left="786" w:right="-828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b.  nie przekraczający 35 dni;</w:t>
      </w:r>
    </w:p>
    <w:p w:rsidR="00D257FA" w:rsidRPr="00D257FA" w:rsidRDefault="00D257FA" w:rsidP="00D257FA">
      <w:pPr>
        <w:spacing w:after="0" w:line="360" w:lineRule="auto"/>
        <w:ind w:left="786" w:right="-828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c.  nie przekraczający 42 dni</w:t>
      </w:r>
    </w:p>
    <w:p w:rsidR="00D257FA" w:rsidRPr="005A7888" w:rsidRDefault="00D257FA" w:rsidP="00D257FA">
      <w:pPr>
        <w:spacing w:after="0" w:line="360" w:lineRule="auto"/>
        <w:jc w:val="both"/>
        <w:rPr>
          <w:rFonts w:eastAsia="Times New Roman" w:cs="Times New Roman"/>
          <w:b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 w:rsidRPr="005A7888">
        <w:rPr>
          <w:rFonts w:eastAsia="Calibri" w:cs="Times New Roman"/>
          <w:b/>
          <w:szCs w:val="24"/>
        </w:rPr>
        <w:t>Na rozprawie w trybie zwyczajnym sąd wydał wyrok skazujący oskarżonego. Podczas ogłoszenia wyroku na rozprawie był obecny wyłącznie prokurator, obrońca i oskarżony nie stawili się. Wyrok należy doręczyć:</w:t>
      </w:r>
    </w:p>
    <w:p w:rsidR="00D257FA" w:rsidRPr="00D257FA" w:rsidRDefault="00D257FA" w:rsidP="00D257FA">
      <w:pPr>
        <w:spacing w:after="0" w:line="276" w:lineRule="auto"/>
        <w:ind w:left="644"/>
        <w:contextualSpacing/>
        <w:jc w:val="both"/>
        <w:rPr>
          <w:rFonts w:eastAsia="Calibri" w:cs="Times New Roman"/>
          <w:szCs w:val="24"/>
        </w:rPr>
      </w:pP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zarówno obrońcy, jak  i oskarżonemu,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tylko obrońcy,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nikomu, ponieważ wyrok wydano na rozprawie.</w:t>
      </w:r>
    </w:p>
    <w:p w:rsidR="00D257FA" w:rsidRPr="00D257FA" w:rsidRDefault="00D257FA" w:rsidP="00D257FA">
      <w:pPr>
        <w:spacing w:after="0" w:line="360" w:lineRule="auto"/>
        <w:ind w:left="720"/>
        <w:contextualSpacing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5"/>
        </w:numPr>
        <w:spacing w:after="0" w:line="360" w:lineRule="auto"/>
        <w:ind w:left="786"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Sąd rozpoznający sprawę, gdy został wniesiony sprzeciw:</w:t>
      </w:r>
    </w:p>
    <w:p w:rsidR="00D257FA" w:rsidRPr="00D257FA" w:rsidRDefault="00D257FA" w:rsidP="00D257FA">
      <w:pPr>
        <w:spacing w:after="0" w:line="360" w:lineRule="auto"/>
        <w:ind w:left="786"/>
        <w:jc w:val="both"/>
        <w:rPr>
          <w:rFonts w:eastAsia="Times New Roman" w:cs="Times New Roman"/>
          <w:szCs w:val="24"/>
          <w:lang w:eastAsia="pl-PL"/>
        </w:rPr>
      </w:pPr>
    </w:p>
    <w:p w:rsidR="00D257FA" w:rsidRPr="00D257FA" w:rsidRDefault="00D257FA" w:rsidP="00D257FA">
      <w:pPr>
        <w:numPr>
          <w:ilvl w:val="1"/>
          <w:numId w:val="5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nie jest związany treścią wyroku nakazowego,</w:t>
      </w:r>
    </w:p>
    <w:p w:rsidR="00D257FA" w:rsidRPr="00D257FA" w:rsidRDefault="00D257FA" w:rsidP="00D257FA">
      <w:pPr>
        <w:numPr>
          <w:ilvl w:val="1"/>
          <w:numId w:val="5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nie może orzec kary surowszej,</w:t>
      </w:r>
    </w:p>
    <w:p w:rsidR="00D257FA" w:rsidRDefault="00D257FA" w:rsidP="00D257FA">
      <w:pPr>
        <w:numPr>
          <w:ilvl w:val="1"/>
          <w:numId w:val="5"/>
        </w:numPr>
        <w:spacing w:after="0" w:line="36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nie może orzec kary surowszej, jeżeli sprzeciw został wniesiony jedynie przez  oskarżonego </w:t>
      </w:r>
    </w:p>
    <w:p w:rsidR="005A7888" w:rsidRPr="00D257FA" w:rsidRDefault="005A7888" w:rsidP="005A7888">
      <w:pPr>
        <w:spacing w:after="0" w:line="360" w:lineRule="auto"/>
        <w:ind w:left="1364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Objęcie czynu ściganego z oskarżenia prywatnego przez prokuratora:</w:t>
      </w:r>
    </w:p>
    <w:p w:rsidR="00D257FA" w:rsidRPr="00D257FA" w:rsidRDefault="00D257FA" w:rsidP="00D257FA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              a. jest możliwe,</w:t>
      </w:r>
    </w:p>
    <w:p w:rsidR="00D257FA" w:rsidRPr="00D257FA" w:rsidRDefault="00D257FA" w:rsidP="00D257FA">
      <w:p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       b. nie jest możliwe,</w:t>
      </w:r>
    </w:p>
    <w:p w:rsidR="00D257FA" w:rsidRPr="00D257FA" w:rsidRDefault="00D257FA" w:rsidP="00D257FA">
      <w:pPr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 xml:space="preserve">       c. jest możliwe, tylko na wniosek pokrzywdzonego.</w:t>
      </w:r>
    </w:p>
    <w:p w:rsidR="00D257FA" w:rsidRPr="00D257FA" w:rsidRDefault="00D257FA" w:rsidP="00D257FA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>Uzasadnienie wyroku powinno być sporządzone w ciągu:</w:t>
      </w:r>
    </w:p>
    <w:p w:rsidR="00D257FA" w:rsidRPr="00D257FA" w:rsidRDefault="00D257FA" w:rsidP="00D257FA">
      <w:pPr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ind w:hanging="644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14 dni od daty wpływu do sądu wniosku o sporządzenie uzasadnienia,</w:t>
      </w:r>
    </w:p>
    <w:p w:rsidR="00D257FA" w:rsidRPr="00D257FA" w:rsidRDefault="00D257FA" w:rsidP="00D257FA">
      <w:pPr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ind w:hanging="644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7 dni od daty wpływu do sądu wniosku o sporządzenie uzasadnienia,</w:t>
      </w:r>
    </w:p>
    <w:p w:rsidR="00D257FA" w:rsidRPr="00D257FA" w:rsidRDefault="00D257FA" w:rsidP="00D257FA">
      <w:pPr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ind w:hanging="644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3 dni od daty wpływu do sądu wniosku o sporządzenie uzasadnienia.</w:t>
      </w:r>
    </w:p>
    <w:p w:rsidR="00D257FA" w:rsidRDefault="00D257FA" w:rsidP="00D257FA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5A7888" w:rsidRPr="00D257FA" w:rsidRDefault="005A7888" w:rsidP="00D257FA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5A7888" w:rsidRDefault="00D257FA" w:rsidP="00D257FA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5A7888">
        <w:rPr>
          <w:rFonts w:eastAsia="Times New Roman" w:cs="Times New Roman"/>
          <w:b/>
          <w:szCs w:val="24"/>
          <w:lang w:eastAsia="pl-PL"/>
        </w:rPr>
        <w:t xml:space="preserve">Czy udział oskarżonego pozbawionego wolności w rozprawie jest obowiązkowy: </w:t>
      </w:r>
    </w:p>
    <w:p w:rsidR="00D257FA" w:rsidRPr="00D257FA" w:rsidRDefault="00D257FA" w:rsidP="00D257FA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a. tak, zawsze,</w:t>
      </w:r>
    </w:p>
    <w:p w:rsidR="00D257FA" w:rsidRPr="00D257FA" w:rsidRDefault="00D257FA" w:rsidP="00D257FA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b. nie, chyba, że sąd uzna obecność oskarżonego za obowiązkową.</w:t>
      </w:r>
    </w:p>
    <w:p w:rsidR="00D257FA" w:rsidRDefault="00D257FA" w:rsidP="00E40ABA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257FA">
        <w:rPr>
          <w:rFonts w:eastAsia="Times New Roman" w:cs="Times New Roman"/>
          <w:szCs w:val="24"/>
          <w:lang w:eastAsia="pl-PL"/>
        </w:rPr>
        <w:t>c. nie.</w:t>
      </w:r>
    </w:p>
    <w:p w:rsidR="00E40ABA" w:rsidRPr="00D257FA" w:rsidRDefault="00E40ABA" w:rsidP="00E40ABA">
      <w:pPr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eastAsia="Times New Roman" w:cs="Times New Roman"/>
          <w:color w:val="FF0000"/>
          <w:szCs w:val="24"/>
          <w:lang w:eastAsia="pl-PL"/>
        </w:rPr>
      </w:pPr>
      <w:bookmarkStart w:id="0" w:name="_GoBack"/>
      <w:bookmarkEnd w:id="0"/>
    </w:p>
    <w:p w:rsidR="00D257FA" w:rsidRPr="005A7888" w:rsidRDefault="00D257FA" w:rsidP="00D257FA">
      <w:pPr>
        <w:numPr>
          <w:ilvl w:val="0"/>
          <w:numId w:val="5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 w:rsidRPr="005A7888">
        <w:rPr>
          <w:rFonts w:eastAsia="Calibri" w:cs="Times New Roman"/>
          <w:b/>
          <w:szCs w:val="24"/>
        </w:rPr>
        <w:lastRenderedPageBreak/>
        <w:t>W sprawie zawiłej lub z innych ważnych powodów sąd może odroczyć wydanie wyroku na czas nie przekraczający: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3 dni,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 xml:space="preserve">7 dni, 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14 dni.</w:t>
      </w:r>
    </w:p>
    <w:p w:rsidR="00D257FA" w:rsidRPr="005A7888" w:rsidRDefault="00D257FA" w:rsidP="00D257FA">
      <w:pPr>
        <w:spacing w:after="0" w:line="276" w:lineRule="auto"/>
        <w:ind w:left="928"/>
        <w:jc w:val="both"/>
        <w:rPr>
          <w:rFonts w:eastAsia="Calibri" w:cs="Times New Roman"/>
          <w:b/>
          <w:szCs w:val="24"/>
        </w:rPr>
      </w:pPr>
    </w:p>
    <w:p w:rsidR="00D257FA" w:rsidRPr="005A7888" w:rsidRDefault="00D257FA" w:rsidP="00D257FA">
      <w:pPr>
        <w:numPr>
          <w:ilvl w:val="0"/>
          <w:numId w:val="5"/>
        </w:numPr>
        <w:spacing w:after="0" w:line="276" w:lineRule="auto"/>
        <w:jc w:val="both"/>
        <w:rPr>
          <w:rFonts w:eastAsia="Calibri" w:cs="Times New Roman"/>
          <w:b/>
          <w:szCs w:val="24"/>
        </w:rPr>
      </w:pPr>
      <w:r w:rsidRPr="005A7888">
        <w:rPr>
          <w:rFonts w:eastAsia="Calibri" w:cs="Times New Roman"/>
          <w:b/>
          <w:szCs w:val="24"/>
        </w:rPr>
        <w:t xml:space="preserve"> Termin do wniesienia apelacji od wyroku wydanego w trybie przyspieszonym wynosi:</w:t>
      </w:r>
    </w:p>
    <w:p w:rsidR="00D257FA" w:rsidRPr="00D257FA" w:rsidRDefault="00D257FA" w:rsidP="00D257FA">
      <w:pPr>
        <w:spacing w:after="0" w:line="276" w:lineRule="auto"/>
        <w:ind w:left="644"/>
        <w:jc w:val="both"/>
        <w:rPr>
          <w:rFonts w:eastAsia="Calibri" w:cs="Times New Roman"/>
          <w:szCs w:val="24"/>
        </w:rPr>
      </w:pP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>7 dni,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 xml:space="preserve"> 3 dni,</w:t>
      </w:r>
    </w:p>
    <w:p w:rsidR="00D257FA" w:rsidRPr="00D257FA" w:rsidRDefault="00D257FA" w:rsidP="00D257FA">
      <w:pPr>
        <w:numPr>
          <w:ilvl w:val="1"/>
          <w:numId w:val="5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D257FA">
        <w:rPr>
          <w:rFonts w:eastAsia="Calibri" w:cs="Times New Roman"/>
          <w:szCs w:val="24"/>
        </w:rPr>
        <w:t xml:space="preserve">14 dni. </w:t>
      </w:r>
    </w:p>
    <w:p w:rsidR="00D257FA" w:rsidRPr="00D257FA" w:rsidRDefault="00D257FA" w:rsidP="00D257FA">
      <w:pPr>
        <w:spacing w:after="0" w:line="360" w:lineRule="auto"/>
        <w:ind w:left="360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D257FA" w:rsidRDefault="00D257FA" w:rsidP="00D257FA">
      <w:pPr>
        <w:spacing w:after="0" w:line="360" w:lineRule="auto"/>
        <w:ind w:left="1080"/>
        <w:jc w:val="both"/>
        <w:rPr>
          <w:rFonts w:eastAsia="Times New Roman" w:cs="Times New Roman"/>
          <w:color w:val="FF0000"/>
          <w:szCs w:val="24"/>
          <w:highlight w:val="yellow"/>
          <w:lang w:eastAsia="pl-PL"/>
        </w:rPr>
      </w:pPr>
    </w:p>
    <w:p w:rsidR="00D257FA" w:rsidRDefault="00D257FA" w:rsidP="00D257FA">
      <w:pPr>
        <w:spacing w:after="0" w:line="360" w:lineRule="auto"/>
        <w:ind w:right="-828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D257FA" w:rsidRDefault="00D257FA" w:rsidP="00D257FA">
      <w:pPr>
        <w:spacing w:after="0" w:line="360" w:lineRule="auto"/>
        <w:ind w:left="786" w:right="-828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D257FA" w:rsidRDefault="00D257FA" w:rsidP="00D257FA">
      <w:pPr>
        <w:spacing w:after="0" w:line="360" w:lineRule="auto"/>
        <w:ind w:left="786" w:right="-828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D257FA" w:rsidRPr="00D257FA" w:rsidRDefault="00D257FA" w:rsidP="00D257FA">
      <w:pPr>
        <w:spacing w:after="0" w:line="360" w:lineRule="auto"/>
        <w:ind w:left="786" w:right="-828"/>
        <w:jc w:val="both"/>
        <w:rPr>
          <w:rFonts w:eastAsia="Times New Roman" w:cs="Times New Roman"/>
          <w:color w:val="FF0000"/>
          <w:szCs w:val="24"/>
          <w:lang w:eastAsia="pl-PL"/>
        </w:rPr>
      </w:pPr>
      <w:r w:rsidRPr="00D257FA">
        <w:rPr>
          <w:rFonts w:eastAsia="Times New Roman" w:cs="Times New Roman"/>
          <w:color w:val="FF0000"/>
          <w:szCs w:val="24"/>
          <w:lang w:eastAsia="pl-PL"/>
        </w:rPr>
        <w:t xml:space="preserve"> </w:t>
      </w:r>
    </w:p>
    <w:p w:rsidR="00D257FA" w:rsidRPr="00D257FA" w:rsidRDefault="00D257FA" w:rsidP="00D257FA">
      <w:pPr>
        <w:rPr>
          <w:rFonts w:cs="Times New Roman"/>
          <w:color w:val="FF0000"/>
          <w:szCs w:val="24"/>
        </w:rPr>
      </w:pPr>
    </w:p>
    <w:p w:rsidR="00B92489" w:rsidRPr="00D257FA" w:rsidRDefault="00B92489"/>
    <w:sectPr w:rsidR="00B92489" w:rsidRPr="00D257FA" w:rsidSect="005A7888">
      <w:footerReference w:type="even" r:id="rId7"/>
      <w:footerReference w:type="default" r:id="rId8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174" w:rsidRDefault="00984174">
      <w:pPr>
        <w:spacing w:after="0" w:line="240" w:lineRule="auto"/>
      </w:pPr>
      <w:r>
        <w:separator/>
      </w:r>
    </w:p>
  </w:endnote>
  <w:endnote w:type="continuationSeparator" w:id="0">
    <w:p w:rsidR="00984174" w:rsidRDefault="00984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B84" w:rsidRDefault="00D257FA" w:rsidP="00175BB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70B84" w:rsidRDefault="00984174" w:rsidP="00175BB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138394"/>
      <w:docPartObj>
        <w:docPartGallery w:val="Page Numbers (Bottom of Page)"/>
        <w:docPartUnique/>
      </w:docPartObj>
    </w:sdtPr>
    <w:sdtEndPr/>
    <w:sdtContent>
      <w:p w:rsidR="00FF710A" w:rsidRDefault="00D25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ABA">
          <w:rPr>
            <w:noProof/>
          </w:rPr>
          <w:t>4</w:t>
        </w:r>
        <w:r>
          <w:fldChar w:fldCharType="end"/>
        </w:r>
      </w:p>
    </w:sdtContent>
  </w:sdt>
  <w:p w:rsidR="00F70B84" w:rsidRDefault="00984174" w:rsidP="00175BB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174" w:rsidRDefault="00984174">
      <w:pPr>
        <w:spacing w:after="0" w:line="240" w:lineRule="auto"/>
      </w:pPr>
      <w:r>
        <w:separator/>
      </w:r>
    </w:p>
  </w:footnote>
  <w:footnote w:type="continuationSeparator" w:id="0">
    <w:p w:rsidR="00984174" w:rsidRDefault="00984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83597"/>
    <w:multiLevelType w:val="hybridMultilevel"/>
    <w:tmpl w:val="D054AB94"/>
    <w:lvl w:ilvl="0" w:tplc="C4F22074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37080D"/>
    <w:multiLevelType w:val="hybridMultilevel"/>
    <w:tmpl w:val="D58CFE18"/>
    <w:lvl w:ilvl="0" w:tplc="9F28279A">
      <w:start w:val="10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E8D712C"/>
    <w:multiLevelType w:val="hybridMultilevel"/>
    <w:tmpl w:val="8820D67E"/>
    <w:lvl w:ilvl="0" w:tplc="C590BDEA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55C105C3"/>
    <w:multiLevelType w:val="hybridMultilevel"/>
    <w:tmpl w:val="AEEC3204"/>
    <w:lvl w:ilvl="0" w:tplc="13D09054">
      <w:start w:val="1"/>
      <w:numFmt w:val="upperLetter"/>
      <w:lvlText w:val="%1."/>
      <w:lvlJc w:val="left"/>
      <w:pPr>
        <w:ind w:left="150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3BE8C72C">
      <w:start w:val="12"/>
      <w:numFmt w:val="decimal"/>
      <w:lvlText w:val="%3."/>
      <w:lvlJc w:val="left"/>
      <w:pPr>
        <w:ind w:left="312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78F35A8A"/>
    <w:multiLevelType w:val="hybridMultilevel"/>
    <w:tmpl w:val="79C05776"/>
    <w:lvl w:ilvl="0" w:tplc="CB24A30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A8240DB6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7FA"/>
    <w:rsid w:val="001829C8"/>
    <w:rsid w:val="002059A8"/>
    <w:rsid w:val="00407214"/>
    <w:rsid w:val="005A7888"/>
    <w:rsid w:val="00984174"/>
    <w:rsid w:val="00B92489"/>
    <w:rsid w:val="00D257FA"/>
    <w:rsid w:val="00DD63FD"/>
    <w:rsid w:val="00E4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20A4"/>
  <w15:chartTrackingRefBased/>
  <w15:docId w15:val="{897A633A-3A5C-4D10-B487-B07A0496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D25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257FA"/>
  </w:style>
  <w:style w:type="character" w:styleId="Numerstrony">
    <w:name w:val="page number"/>
    <w:basedOn w:val="Domylnaczcionkaakapitu"/>
    <w:rsid w:val="00D257FA"/>
  </w:style>
  <w:style w:type="paragraph" w:styleId="Tekstdymka">
    <w:name w:val="Balloon Text"/>
    <w:basedOn w:val="Normalny"/>
    <w:link w:val="TekstdymkaZnak"/>
    <w:uiPriority w:val="99"/>
    <w:semiHidden/>
    <w:unhideWhenUsed/>
    <w:rsid w:val="005A7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3</cp:revision>
  <cp:lastPrinted>2025-03-13T08:21:00Z</cp:lastPrinted>
  <dcterms:created xsi:type="dcterms:W3CDTF">2025-03-13T08:17:00Z</dcterms:created>
  <dcterms:modified xsi:type="dcterms:W3CDTF">2025-03-13T08:22:00Z</dcterms:modified>
</cp:coreProperties>
</file>