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084" w:rsidRDefault="002A06A3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Leszno, dnia 24 stycznia 2024r.</w:t>
      </w:r>
    </w:p>
    <w:p w:rsidR="00203084" w:rsidRDefault="00203084" w:rsidP="00203084">
      <w:pPr>
        <w:spacing w:after="0" w:line="240" w:lineRule="auto"/>
        <w:ind w:left="5664" w:right="-828" w:firstLine="708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 xml:space="preserve"> </w:t>
      </w:r>
    </w:p>
    <w:p w:rsidR="00203084" w:rsidRDefault="00203084" w:rsidP="00203084">
      <w:pPr>
        <w:spacing w:after="0" w:line="240" w:lineRule="auto"/>
        <w:ind w:right="-828"/>
        <w:jc w:val="center"/>
        <w:rPr>
          <w:rFonts w:eastAsia="Times New Roman" w:cs="Times New Roman"/>
          <w:szCs w:val="24"/>
          <w:lang w:eastAsia="pl-PL"/>
        </w:rPr>
      </w:pPr>
    </w:p>
    <w:p w:rsidR="00A8375F" w:rsidRPr="007956D0" w:rsidRDefault="00A8375F" w:rsidP="00A8375F">
      <w:pPr>
        <w:spacing w:after="0" w:line="276" w:lineRule="auto"/>
        <w:jc w:val="center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KONKURS NA ST</w:t>
      </w:r>
      <w:r w:rsidR="002A06A3">
        <w:rPr>
          <w:rFonts w:cs="Times New Roman"/>
          <w:b/>
          <w:szCs w:val="24"/>
        </w:rPr>
        <w:t>ANOWISKO ASYSTENTA SĘDZIEGO NR 3</w:t>
      </w:r>
      <w:r w:rsidRPr="007956D0">
        <w:rPr>
          <w:rFonts w:cs="Times New Roman"/>
          <w:b/>
          <w:szCs w:val="24"/>
        </w:rPr>
        <w:t>/2023</w:t>
      </w:r>
    </w:p>
    <w:p w:rsidR="00A8375F" w:rsidRPr="007956D0" w:rsidRDefault="00A8375F" w:rsidP="00A8375F">
      <w:pPr>
        <w:spacing w:after="0" w:line="276" w:lineRule="auto"/>
        <w:jc w:val="center"/>
        <w:rPr>
          <w:rFonts w:cs="Times New Roman"/>
          <w:b/>
          <w:szCs w:val="24"/>
        </w:rPr>
      </w:pPr>
      <w:r w:rsidRPr="007956D0">
        <w:rPr>
          <w:rFonts w:cs="Times New Roman"/>
          <w:b/>
          <w:szCs w:val="24"/>
        </w:rPr>
        <w:t>II ETAP KONKURSU</w:t>
      </w:r>
    </w:p>
    <w:p w:rsidR="00203084" w:rsidRDefault="00203084" w:rsidP="00203084">
      <w:pPr>
        <w:spacing w:after="0" w:line="240" w:lineRule="auto"/>
        <w:ind w:right="-828"/>
        <w:jc w:val="both"/>
        <w:rPr>
          <w:rFonts w:eastAsia="Times New Roman" w:cs="Times New Roman"/>
          <w:szCs w:val="24"/>
          <w:lang w:eastAsia="pl-PL"/>
        </w:rPr>
      </w:pPr>
    </w:p>
    <w:p w:rsidR="00203084" w:rsidRPr="00203084" w:rsidRDefault="00203084" w:rsidP="00203084">
      <w:pPr>
        <w:tabs>
          <w:tab w:val="left" w:pos="8100"/>
        </w:tabs>
        <w:autoSpaceDE w:val="0"/>
        <w:autoSpaceDN w:val="0"/>
        <w:adjustRightInd w:val="0"/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  <w:r w:rsidRPr="00203084">
        <w:rPr>
          <w:rFonts w:eastAsia="Times New Roman" w:cs="Times New Roman"/>
          <w:b/>
          <w:szCs w:val="24"/>
          <w:lang w:eastAsia="pl-PL"/>
        </w:rPr>
        <w:t>TEST -</w:t>
      </w:r>
      <w:r w:rsidRPr="00203084">
        <w:rPr>
          <w:rFonts w:eastAsia="Times New Roman" w:cs="Times New Roman"/>
          <w:b/>
          <w:bCs/>
          <w:szCs w:val="24"/>
          <w:lang w:eastAsia="pl-PL"/>
        </w:rPr>
        <w:t xml:space="preserve"> blok karny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Test jednokrotnego wyboru. Odpowiedź właściwą należy wskazać przez zakreślenie znakiem „X” oznaczenia literowego. Za każde prawidłowe rozwiązanie zadania testowego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komisja przyznaje 1 punkt. W przypadku dokonania przez kandydata zmian zakreślonych</w:t>
      </w:r>
    </w:p>
    <w:p w:rsidR="00A8375F" w:rsidRDefault="00A8375F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  <w:r>
        <w:rPr>
          <w:rFonts w:eastAsia="Times New Roman" w:cs="Times New Roman"/>
          <w:i/>
          <w:iCs/>
          <w:szCs w:val="24"/>
          <w:lang w:eastAsia="pl-PL"/>
        </w:rPr>
        <w:t>odpowiedzi za dane zadanie testowe komisja przyznaje 0 punktów.</w:t>
      </w:r>
    </w:p>
    <w:p w:rsidR="003B5E30" w:rsidRDefault="003B5E30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3B5E30" w:rsidRDefault="003B5E30" w:rsidP="00A8375F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i/>
          <w:iCs/>
          <w:szCs w:val="24"/>
          <w:lang w:eastAsia="pl-PL"/>
        </w:rPr>
      </w:pPr>
    </w:p>
    <w:p w:rsidR="00203084" w:rsidRDefault="003B5E30" w:rsidP="003B5E30">
      <w:pPr>
        <w:spacing w:after="0" w:line="276" w:lineRule="auto"/>
        <w:rPr>
          <w:b/>
        </w:rPr>
      </w:pPr>
      <w:r w:rsidRPr="003B5E30">
        <w:rPr>
          <w:b/>
        </w:rPr>
        <w:t>Imię i nazwisko kandydata - ..................................................................................</w:t>
      </w:r>
      <w:r>
        <w:rPr>
          <w:b/>
        </w:rPr>
        <w:t>...................</w:t>
      </w:r>
    </w:p>
    <w:p w:rsidR="003B5E30" w:rsidRPr="003B5E30" w:rsidRDefault="003B5E30" w:rsidP="003B5E30">
      <w:pPr>
        <w:spacing w:after="0" w:line="276" w:lineRule="auto"/>
        <w:rPr>
          <w:rFonts w:cs="Times New Roman"/>
          <w:b/>
          <w:szCs w:val="24"/>
        </w:rPr>
      </w:pPr>
    </w:p>
    <w:p w:rsidR="00203084" w:rsidRPr="003B5E30" w:rsidRDefault="00203084" w:rsidP="007956D0">
      <w:pPr>
        <w:spacing w:after="0" w:line="276" w:lineRule="auto"/>
        <w:jc w:val="both"/>
        <w:rPr>
          <w:rFonts w:cs="Times New Roman"/>
          <w:b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Zgodnie z Kodeksem karnym nie stanowi przestępstwa czyn zabroniony: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którego społeczna szkodliwość jest znikoma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którego społeczna szkodliwość jest nieznaczna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którego społeczna szkodliwość jest niewielka </w:t>
      </w:r>
    </w:p>
    <w:p w:rsidR="002A06A3" w:rsidRDefault="002A06A3" w:rsidP="002A06A3">
      <w:pPr>
        <w:spacing w:after="0" w:line="276" w:lineRule="auto"/>
        <w:ind w:left="1440"/>
        <w:contextualSpacing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Zgodnie z Kodeksem karnym kara łączna: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orzekana jest za przestępstwa popełnione w ciągu przestępstw 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umożliwia połączenie kary pozbawienia wolności i kary ograniczenia wolności 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stosuje się ją wyłącznie w wyroku łącznym</w:t>
      </w:r>
    </w:p>
    <w:p w:rsidR="002A06A3" w:rsidRDefault="002A06A3" w:rsidP="002A06A3">
      <w:pPr>
        <w:pStyle w:val="Akapitzlist"/>
        <w:spacing w:after="0" w:line="276" w:lineRule="auto"/>
        <w:ind w:left="1440"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Zgodnie z obecnie obowiązującymi przepisami, jeżeli czyn polegający na kradzieży mienia w kwocie 800zł popełniony został przed 1 października 2023r.,     to wyczerpuje on znamiona określone: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w art. 278§1 kk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w art. 119§1 kw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w art. 278§1 kk i art. 119§1 kw </w:t>
      </w:r>
    </w:p>
    <w:p w:rsidR="002A06A3" w:rsidRDefault="002A06A3" w:rsidP="002A06A3">
      <w:pPr>
        <w:spacing w:after="0" w:line="276" w:lineRule="auto"/>
        <w:jc w:val="both"/>
        <w:rPr>
          <w:rFonts w:eastAsia="Calibri" w:cs="Times New Roman"/>
          <w:color w:val="FF0000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Zgodnie z Kodeksem karnym, jeżeli według nowej ustawy czyn objęty wyrokiem nie jest już zagrożony karą pozbawienia wolności, wymierzoną karę pozbawienia wolności podlegającą wykonaniu zamienia się na: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grzywnę albo karę ograniczenia wolności, przyjmując że jeden miesiąc pozbawienia wolności równa się 60 stawkom dziennym grzywny albo 2 miesiącom ograniczenia wolności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grzywnę, przyjmując że jeden miesiąc pozbawienia wolności równa się 60 stawkom dziennym grzywny 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karę ograniczenia wolności, przyjmując że jeden miesiąc pozbawienia wolności równa się 2 miesiącom ograniczenia wolności</w:t>
      </w: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lastRenderedPageBreak/>
        <w:t>Zgodnie z Kodeksem karny w stosunku do sprawcy, który popełnił występek po ukończeniu lat 17, lecz przed ukończeniem lat 18, sąd zamiast kary stosuje: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jedynie stosuje środki wychowawcze, lecznicze przewidziane dla nieletnich, jeżeli okoliczności sprawy oraz stopień rozwoju sprawcy, jego właściwości i warunki osobiste za tym przemawiają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jedynie środki wychowawcze, jeżeli okoliczności sprawy oraz stopień rozwoju sprawcy, jego właściwości i warunki osobiste za tym przemawiają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środki wychowawcze, lecznicze albo poprawcze przewidziane dla nieletnich, jeżeli okoliczności sprawy oraz stopień rozwoju sprawcy, jego właściwości i warunki osobiste za tym przemawiają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Zgodnie z Kodeksem karnym Sąd może wymierzyć grzywnę także obok kary pozbawienia wolności wymienionej w art. 32 pkt 3 kk, jeżeli sprawca: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dopuścił się czynu w celu osiągnięcia korzyści majątkowej lub gdy korzyść majątkową osiągnął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dopuścił się czynu w celu osiągnięcia korzyści majątkowej tylko dla siebie lub gdy korzyść majątkową tylko dla siebie osiągnął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dopuścił się czynu jedynie w celu osiągnięcia korzyści majątkowej </w:t>
      </w:r>
    </w:p>
    <w:p w:rsidR="002A06A3" w:rsidRDefault="002A06A3" w:rsidP="002A06A3">
      <w:pPr>
        <w:pStyle w:val="Akapitzlist"/>
        <w:ind w:left="1440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Zgodnie z Kodeksem karnym w razie skazania sąd: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orzeka obowiązek naprawienia, w całości albo w części, wyrządzonej przestępstwem szkody lub zadośćuczynienia za doznaną krzywdę; przepisów prawa cywilnego o możliwości zasądzenia renty nie stosuje się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może orzec, a na wniosek pokrzywdzonego lub innej osoby uprawnionej orzeka, stosując przepisy prawa cywilnego, obowiązek naprawienia, w całości albo w części, wyrządzonej przestępstwem szkody lub zadośćuczynienia za doznaną krzywdę; przepisów prawa cywilnego o możliwości zasądzenia renty nie stosuje 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orzeka jedynie na wniosek pokrzywdzonego lub innej osoby uprawnionej, stosując przepisy prawa cywilnego, obowiązek naprawienia, w całości albo w części, wyrządzonej przestępstwem szkody lub zadośćuczynienia za doznaną krzywdę; przepisów prawa cywilnego o możliwości zasądzenia renty nie stosuje się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</w:t>
      </w:r>
    </w:p>
    <w:p w:rsidR="002A06A3" w:rsidRDefault="002A06A3" w:rsidP="002A06A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b/>
          <w:szCs w:val="24"/>
        </w:rPr>
        <w:t>Zgodnie z Kodeksem karnym, skazując za występek o charakterze chuligańskim, sąd: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wymierza karę przewidzianą za przypisane sprawcy przestępstwo w wysokości nie niższej od dolnej granicy ustawowego zagrożenia zwiększonego o połowę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wymierza karę przewidzianą za przypisane sprawcy przestępstwo w wysokości nie niższej od dolnej granicy ustawowego zagrożenia zwiększonego o połowę do górnej granicy zagrożenia</w:t>
      </w:r>
      <w:r>
        <w:t xml:space="preserve"> </w:t>
      </w:r>
      <w:r>
        <w:rPr>
          <w:rFonts w:eastAsia="Calibri" w:cs="Times New Roman"/>
          <w:szCs w:val="24"/>
        </w:rPr>
        <w:t xml:space="preserve">zwiększonego o połowę 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może wymierzyć karę przewidzianą za przypisane sprawcy przestępstwo w wysokości nie niższej od dolnej granicy ustawowego zagrożenia zwiększonego o połowę do górnej granicy zagrożenia zwiększonego o połowę</w:t>
      </w:r>
    </w:p>
    <w:p w:rsidR="002A06A3" w:rsidRDefault="002A06A3" w:rsidP="002A06A3">
      <w:pPr>
        <w:spacing w:after="0" w:line="276" w:lineRule="auto"/>
        <w:ind w:left="1440"/>
        <w:contextualSpacing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szCs w:val="24"/>
        </w:rPr>
      </w:pPr>
      <w:r>
        <w:rPr>
          <w:rFonts w:eastAsia="Calibri" w:cs="Times New Roman"/>
          <w:b/>
          <w:szCs w:val="24"/>
        </w:rPr>
        <w:t>Zgodnie z Kodeksem karnym, jeżeli ustawa przewiduje możliwość wyboru rodzaju kary, a przestępstwo jest zagrożone karą pozbawienia wolności nieprzekraczającą 5 lat, sąd: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orzeka karę pozbawienia wolności tylko wtedy, gdy inna kara lub środek karny nie może spełnić celów kary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orzeka karę pozbawienia wolności poniżej dolnego zagrożenia 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może orzec karę pozbawienia wolności tylko wtedy, gdy inna kara lub środek karny nie może spełnić celów kary</w:t>
      </w:r>
    </w:p>
    <w:p w:rsidR="002A06A3" w:rsidRDefault="002A06A3" w:rsidP="002A06A3">
      <w:pPr>
        <w:spacing w:after="0" w:line="276" w:lineRule="auto"/>
        <w:ind w:left="1440"/>
        <w:contextualSpacing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Zgodnie z Kodeksem postępowania karnego</w:t>
      </w:r>
      <w:r>
        <w:t xml:space="preserve"> </w:t>
      </w:r>
      <w:r>
        <w:rPr>
          <w:rFonts w:eastAsia="Calibri" w:cs="Times New Roman"/>
          <w:b/>
          <w:bCs/>
          <w:szCs w:val="24"/>
        </w:rPr>
        <w:t>w sprawie o przestępstwo z art. 190 § 1 Kodeksu karnego: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można wszcząć i prowadzić postępowanie pomimo niezłożenia wniosku o ściganie, jeżeli zachodzi duże prawdopodobieństwo, że niezłożenie wniosku wynika z obawy pokrzywdzonego przed odwetem albo jeżeli przemawia za tym interes społeczny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nie można wszcząć i prowadzić postępowanie wobec  niezłożenia wniosku o ściganie, nawet jeżeli zachodzi duże prawdopodobieństwo, że niezłożenie wniosku wynika z obawy pokrzywdzonego przed odwetem albo jeżeli przemawia za tym interes społeczny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można wszcząć i prowadzić postępowanie pomimo niezłożenia wniosku o ściganie</w:t>
      </w: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Zgodnie z Kodeksem postępowania karnego, Sąd może uwzględnić wniosek o wydanie wyroku skazującego, gdy: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b/>
          <w:bCs/>
          <w:szCs w:val="24"/>
        </w:rPr>
      </w:pPr>
      <w:r>
        <w:rPr>
          <w:rFonts w:cs="Times New Roman"/>
          <w:szCs w:val="24"/>
        </w:rPr>
        <w:t>okoliczności popełnienia przestępstwa i wina nie budzą wątpliwości, a cele postępowania zostaną osiągnięte mimo nieprzeprowadzenia rozprawy w całości; uwzględnienie wniosku jest możliwe jedynie wówczas, gdy nie sprzeciwia się temu prokurator, a także pokrzywdzony należycie powiadomiony o terminie rozprawy oraz pouczony o możliwości zgłoszenia przez oskarżonego takiego wniosku</w:t>
      </w:r>
    </w:p>
    <w:p w:rsidR="002A06A3" w:rsidRDefault="002A06A3" w:rsidP="002A06A3">
      <w:pPr>
        <w:pStyle w:val="Akapitzlist"/>
        <w:rPr>
          <w:rFonts w:eastAsia="Calibri" w:cs="Times New Roman"/>
          <w:bCs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okoliczności popełnienia przestępstwa i wina nie budzą wątpliwości, a cele postępowania zostaną osiągnięte mimo nieprzeprowadzenia rozprawy w całości; uwzględnienie wniosku jest możliwe jedynie wówczas, gdy nie sprzeciwia się temu prokurator, a także pokrzywdzony, który stawił się na rozprawę  </w:t>
      </w:r>
    </w:p>
    <w:p w:rsidR="002A06A3" w:rsidRDefault="002A06A3" w:rsidP="002A06A3">
      <w:pPr>
        <w:pStyle w:val="Akapitzlist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okoliczności popełnienia przestępstwa i wina nie budzą wątpliwości, a cele postępowania zostaną osiągnięte mimo nieprzeprowadzenia rozprawy w całości; uwzględnienie wniosku jest możliwe jedynie wówczas, gdy prokurator wyrazi zgodę, a pokrzywdzony należycie powiadomiony o terminie rozprawy oraz pouczony o możliwości zgłoszenia przez oskarżonego takiego wniosku nie zgłosi sprzeciwu</w:t>
      </w:r>
    </w:p>
    <w:p w:rsidR="002A06A3" w:rsidRDefault="002A06A3" w:rsidP="002A06A3">
      <w:pPr>
        <w:pStyle w:val="Akapitzlist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pStyle w:val="Akapitzlist"/>
        <w:spacing w:after="0" w:line="276" w:lineRule="auto"/>
        <w:ind w:left="1440"/>
        <w:jc w:val="both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Zgodnie z Kodeksem postępowania karnego: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przesłuchanie świadka może nastąpić przy użyciu urządzeń technicznych umożliwiających przeprowadzenie tej czynności na odległość z jednoczesnym bezpośrednim przekazem obrazu i dźwięku, w postępowaniu przed sądem</w:t>
      </w:r>
      <w:r>
        <w:t xml:space="preserve"> </w:t>
      </w:r>
      <w:r>
        <w:rPr>
          <w:rFonts w:eastAsia="Calibri" w:cs="Times New Roman"/>
          <w:bCs/>
          <w:szCs w:val="24"/>
        </w:rPr>
        <w:t>bierze udział aplikant sędziowski, referendarz sądowy, asystent sędziego lub urzędnik zatrudniony w sądzie, w którego okręgu świadek przebywa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przesłuchanie świadka może nastąpić przy użyciu urządzeń technicznych umożliwiających przeprowadzenie tej czynności na odległość z jednoczesnym bezpośrednim przekazem obrazu i dźwięku, w postępowaniu przed sądem bierze udział sędzia, aplikant sędziowski, referendarz sądowy, asystent sędziego lub urzędnik zatrudniony w sądzie, w którego okręgu świadek przebywa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przesłuchanie świadka może nastąpić przy użyciu urządzeń technicznych umożliwiających przeprowadzenie tej czynności na odległość z jednoczesnym bezpośrednim przekazem obrazu i dźwięku, w postępowaniu przed sądem bierze udział asesor sądowy, referendarz sądowy, asystent sędziego lub urzędnik zatrudniony w sądzie, w którego okręgu świadek przebywa</w:t>
      </w:r>
    </w:p>
    <w:p w:rsidR="002A06A3" w:rsidRDefault="002A06A3" w:rsidP="002A06A3">
      <w:pPr>
        <w:spacing w:after="0" w:line="276" w:lineRule="auto"/>
        <w:jc w:val="both"/>
        <w:rPr>
          <w:rFonts w:eastAsia="Calibri" w:cs="Times New Roman"/>
          <w:bCs/>
          <w:szCs w:val="24"/>
        </w:rPr>
      </w:pPr>
    </w:p>
    <w:p w:rsidR="002A06A3" w:rsidRDefault="002A06A3" w:rsidP="002A06A3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b/>
          <w:bCs/>
          <w:szCs w:val="24"/>
        </w:rPr>
        <w:t xml:space="preserve">Zgodnie z Kodeksem postępowania karnego, wniosek do sądu wyższego rzędu nad sądem właściwym do rozpoznania sprawy o przekazanie sprawy innemu sądowi równorzędnemu, jeżeli większość osób, które należy wezwać na rozprawę, zamieszkuje blisko tego sądu, a z dala od sądu właściwego, kieruje sąd właściwy do rozpoznania sprawy: </w:t>
      </w:r>
    </w:p>
    <w:p w:rsidR="002A06A3" w:rsidRDefault="002A06A3" w:rsidP="002A06A3">
      <w:pPr>
        <w:pStyle w:val="Akapitzlist"/>
        <w:spacing w:after="0" w:line="276" w:lineRule="auto"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1"/>
          <w:numId w:val="4"/>
        </w:numPr>
        <w:spacing w:after="0" w:line="276" w:lineRule="auto"/>
        <w:ind w:left="1551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tylko  z urzędu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ind w:left="1551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tylko na wniosek strony lub ich pełnomocników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ind w:left="1551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z urzędu i na wniosek strony lub ich pełnomocników</w:t>
      </w:r>
    </w:p>
    <w:p w:rsidR="002A06A3" w:rsidRDefault="002A06A3" w:rsidP="002A06A3">
      <w:pPr>
        <w:spacing w:after="0" w:line="276" w:lineRule="auto"/>
        <w:ind w:left="1440"/>
        <w:contextualSpacing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 xml:space="preserve">Zgodnie z Kodeksem postępowania karnego wyrok zaoczny w postępowaniu karnym: 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ind w:left="1871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nie istnieje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ind w:left="1871"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sąd wydaje w postępowaniu uproszczonym 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ind w:left="1871"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Cs/>
          <w:szCs w:val="24"/>
        </w:rPr>
        <w:t>b. sąd wydaje w postępowaniu zwyczajnym</w:t>
      </w:r>
    </w:p>
    <w:p w:rsidR="002A06A3" w:rsidRDefault="002A06A3" w:rsidP="002A06A3">
      <w:pPr>
        <w:spacing w:after="0" w:line="276" w:lineRule="auto"/>
        <w:ind w:left="1871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 xml:space="preserve">        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line="256" w:lineRule="auto"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>Zgodnie z Kodeksem postępowania karnego, w sprawie zawiłej lub z innych ważnych powodów sąd może odroczyć wydanie wyroku na czas nie przekraczający: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ind w:left="183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3 dni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ind w:left="1834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7 dni,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ind w:left="1834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14 dni</w:t>
      </w:r>
    </w:p>
    <w:p w:rsidR="002A06A3" w:rsidRDefault="002A06A3" w:rsidP="002A06A3">
      <w:pPr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line="256" w:lineRule="auto"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lastRenderedPageBreak/>
        <w:t>Zgodnie z Kodeksem postępowania karnego powództwo cywilne (tzw. adhezyjne) w procesie karnym: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ind w:right="57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 xml:space="preserve">nie można go w ogóle wytoczyć 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ind w:left="1437" w:right="57"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Cs/>
          <w:szCs w:val="24"/>
        </w:rPr>
        <w:t>można wytoczyć aż do rozpoczęcia przewodu sądowego na rozprawie głównej</w:t>
      </w:r>
    </w:p>
    <w:p w:rsidR="002A06A3" w:rsidRDefault="002A06A3" w:rsidP="002A06A3">
      <w:pPr>
        <w:pStyle w:val="Akapitzlist"/>
        <w:numPr>
          <w:ilvl w:val="1"/>
          <w:numId w:val="4"/>
        </w:numPr>
        <w:spacing w:line="256" w:lineRule="auto"/>
        <w:ind w:left="1437" w:right="57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można wytoczyć w celu dochodzenia roszczeń majątkowych wynikających bezpośrednio z przestępstwa</w:t>
      </w:r>
    </w:p>
    <w:p w:rsidR="002A06A3" w:rsidRDefault="002A06A3" w:rsidP="002A06A3">
      <w:pPr>
        <w:spacing w:after="0" w:line="276" w:lineRule="auto"/>
        <w:ind w:left="2098" w:right="57"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 xml:space="preserve">Zgodnie z Kodeksem postępowania karnego przebieg narady i głosowania nad orzeczeniem jest: </w:t>
      </w:r>
    </w:p>
    <w:p w:rsidR="002A06A3" w:rsidRDefault="002A06A3" w:rsidP="002A06A3">
      <w:pPr>
        <w:spacing w:after="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</w:p>
    <w:p w:rsidR="002A06A3" w:rsidRDefault="002A06A3" w:rsidP="002A06A3">
      <w:pPr>
        <w:numPr>
          <w:ilvl w:val="1"/>
          <w:numId w:val="4"/>
        </w:numPr>
        <w:spacing w:after="0" w:line="276" w:lineRule="auto"/>
        <w:ind w:left="1494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tajny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ind w:left="1494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jawny</w:t>
      </w:r>
    </w:p>
    <w:p w:rsidR="002A06A3" w:rsidRDefault="002A06A3" w:rsidP="002A06A3">
      <w:pPr>
        <w:numPr>
          <w:ilvl w:val="1"/>
          <w:numId w:val="4"/>
        </w:numPr>
        <w:spacing w:after="0" w:line="276" w:lineRule="auto"/>
        <w:ind w:left="1494"/>
        <w:contextualSpacing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tajny, jeśli przewodniczący składu tak zarządzi </w:t>
      </w:r>
    </w:p>
    <w:p w:rsidR="002A06A3" w:rsidRDefault="002A06A3" w:rsidP="002A06A3">
      <w:pPr>
        <w:spacing w:after="0" w:line="276" w:lineRule="auto"/>
        <w:ind w:left="2154"/>
        <w:contextualSpacing/>
        <w:jc w:val="both"/>
        <w:rPr>
          <w:rFonts w:eastAsia="Calibri" w:cs="Times New Roman"/>
          <w:szCs w:val="24"/>
        </w:rPr>
      </w:pPr>
    </w:p>
    <w:p w:rsidR="002A06A3" w:rsidRDefault="002A06A3" w:rsidP="002A06A3">
      <w:pPr>
        <w:spacing w:after="0" w:line="276" w:lineRule="auto"/>
        <w:ind w:left="2154"/>
        <w:contextualSpacing/>
        <w:jc w:val="both"/>
        <w:rPr>
          <w:rFonts w:eastAsia="Calibri" w:cs="Times New Roman"/>
          <w:szCs w:val="24"/>
        </w:rPr>
      </w:pPr>
    </w:p>
    <w:p w:rsidR="002A06A3" w:rsidRPr="002A06A3" w:rsidRDefault="002A06A3" w:rsidP="0070258F">
      <w:pPr>
        <w:numPr>
          <w:ilvl w:val="0"/>
          <w:numId w:val="4"/>
        </w:numPr>
        <w:spacing w:after="0" w:line="276" w:lineRule="auto"/>
        <w:contextualSpacing/>
        <w:jc w:val="both"/>
        <w:rPr>
          <w:rFonts w:eastAsia="Calibri" w:cs="Times New Roman"/>
          <w:b/>
          <w:bCs/>
          <w:szCs w:val="24"/>
        </w:rPr>
      </w:pPr>
      <w:r w:rsidRPr="002A06A3">
        <w:rPr>
          <w:rFonts w:eastAsia="Calibri" w:cs="Times New Roman"/>
          <w:b/>
          <w:bCs/>
          <w:szCs w:val="24"/>
        </w:rPr>
        <w:t>Zgodnie z Kodeksem postępowania karnego</w:t>
      </w:r>
      <w:r>
        <w:t xml:space="preserve"> </w:t>
      </w:r>
      <w:r w:rsidRPr="002A06A3">
        <w:rPr>
          <w:rFonts w:cs="Times New Roman"/>
          <w:b/>
          <w:szCs w:val="24"/>
        </w:rPr>
        <w:t>s</w:t>
      </w:r>
      <w:r w:rsidRPr="002A06A3">
        <w:rPr>
          <w:rFonts w:eastAsia="Calibri" w:cs="Times New Roman"/>
          <w:b/>
          <w:bCs/>
          <w:szCs w:val="24"/>
        </w:rPr>
        <w:t>ędzia ulega wyłączeniu od rozpoznania sprawy na wniosek strony (iudex suspectus) jeżeli:</w:t>
      </w:r>
    </w:p>
    <w:p w:rsidR="002A06A3" w:rsidRDefault="002A06A3" w:rsidP="002A06A3">
      <w:pPr>
        <w:spacing w:after="0" w:line="276" w:lineRule="auto"/>
        <w:ind w:left="720"/>
        <w:contextualSpacing/>
        <w:jc w:val="both"/>
        <w:rPr>
          <w:rFonts w:eastAsia="Calibri" w:cs="Times New Roman"/>
          <w:b/>
          <w:bCs/>
          <w:szCs w:val="24"/>
        </w:rPr>
      </w:pPr>
      <w:r>
        <w:rPr>
          <w:rFonts w:eastAsia="Calibri" w:cs="Times New Roman"/>
          <w:b/>
          <w:bCs/>
          <w:szCs w:val="24"/>
        </w:rPr>
        <w:tab/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ind w:left="147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sprawa dotyczy tego sędziego bezpośrednio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ind w:left="147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jest małżonkiem strony lub pokrzywdzonego albo ich obrońcy, pełnomocnika lub przedstawiciela ustawowego, albo pozostaje we wspólnym pożyciu z jedną z tych osób</w:t>
      </w:r>
    </w:p>
    <w:p w:rsidR="002A06A3" w:rsidRDefault="002A06A3" w:rsidP="002A06A3">
      <w:pPr>
        <w:pStyle w:val="Akapitzlist"/>
        <w:numPr>
          <w:ilvl w:val="1"/>
          <w:numId w:val="4"/>
        </w:numPr>
        <w:spacing w:after="0" w:line="276" w:lineRule="auto"/>
        <w:ind w:left="1474"/>
        <w:jc w:val="both"/>
        <w:rPr>
          <w:rFonts w:eastAsia="Calibri" w:cs="Times New Roman"/>
          <w:bCs/>
          <w:szCs w:val="24"/>
        </w:rPr>
      </w:pPr>
      <w:r>
        <w:rPr>
          <w:rFonts w:eastAsia="Calibri" w:cs="Times New Roman"/>
          <w:bCs/>
          <w:szCs w:val="24"/>
        </w:rPr>
        <w:t>istnieje okoliczność tego rodzaju, że mogłaby wywołać uzasadnioną wątpliwość co do jego bezstronności w danej sprawie</w:t>
      </w:r>
    </w:p>
    <w:p w:rsidR="002A06A3" w:rsidRDefault="002A06A3" w:rsidP="002A06A3">
      <w:pPr>
        <w:spacing w:after="0" w:line="276" w:lineRule="auto"/>
        <w:ind w:left="1474"/>
        <w:contextualSpacing/>
        <w:jc w:val="both"/>
        <w:rPr>
          <w:rFonts w:eastAsia="Calibri" w:cs="Times New Roman"/>
          <w:color w:val="FF0000"/>
          <w:szCs w:val="24"/>
        </w:rPr>
      </w:pPr>
    </w:p>
    <w:p w:rsidR="002A06A3" w:rsidRDefault="002A06A3" w:rsidP="002A06A3">
      <w:pPr>
        <w:spacing w:after="0" w:line="276" w:lineRule="auto"/>
        <w:jc w:val="center"/>
        <w:rPr>
          <w:rFonts w:eastAsia="Calibri" w:cs="Times New Roman"/>
          <w:szCs w:val="24"/>
        </w:rPr>
      </w:pPr>
    </w:p>
    <w:p w:rsidR="002A06A3" w:rsidRDefault="002A06A3" w:rsidP="002A06A3">
      <w:pPr>
        <w:spacing w:after="0" w:line="276" w:lineRule="auto"/>
        <w:jc w:val="center"/>
        <w:rPr>
          <w:rFonts w:eastAsia="Calibri" w:cs="Times New Roman"/>
          <w:szCs w:val="24"/>
        </w:rPr>
      </w:pPr>
    </w:p>
    <w:p w:rsidR="002A06A3" w:rsidRDefault="002A06A3" w:rsidP="002A06A3">
      <w:pPr>
        <w:spacing w:after="0" w:line="276" w:lineRule="auto"/>
        <w:jc w:val="center"/>
        <w:rPr>
          <w:rFonts w:eastAsia="Calibri" w:cs="Times New Roman"/>
          <w:szCs w:val="24"/>
        </w:rPr>
      </w:pPr>
    </w:p>
    <w:p w:rsidR="002A06A3" w:rsidRDefault="002A06A3" w:rsidP="007956D0">
      <w:pPr>
        <w:spacing w:after="0" w:line="276" w:lineRule="auto"/>
        <w:jc w:val="both"/>
        <w:rPr>
          <w:rFonts w:eastAsia="Calibri" w:cs="Times New Roman"/>
          <w:szCs w:val="24"/>
        </w:rPr>
      </w:pPr>
    </w:p>
    <w:p w:rsidR="002A06A3" w:rsidRDefault="002A06A3" w:rsidP="007956D0">
      <w:pPr>
        <w:spacing w:after="0" w:line="276" w:lineRule="auto"/>
        <w:jc w:val="both"/>
      </w:pPr>
      <w:bookmarkStart w:id="0" w:name="_GoBack"/>
      <w:bookmarkEnd w:id="0"/>
    </w:p>
    <w:sectPr w:rsidR="002A06A3" w:rsidSect="002A06A3">
      <w:footerReference w:type="default" r:id="rId7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33E" w:rsidRDefault="00DC333E">
      <w:pPr>
        <w:spacing w:after="0" w:line="240" w:lineRule="auto"/>
      </w:pPr>
      <w:r>
        <w:separator/>
      </w:r>
    </w:p>
  </w:endnote>
  <w:endnote w:type="continuationSeparator" w:id="0">
    <w:p w:rsidR="00DC333E" w:rsidRDefault="00DC3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2815673"/>
      <w:docPartObj>
        <w:docPartGallery w:val="Page Numbers (Bottom of Page)"/>
        <w:docPartUnique/>
      </w:docPartObj>
    </w:sdtPr>
    <w:sdtEndPr/>
    <w:sdtContent>
      <w:p w:rsidR="0056798F" w:rsidRDefault="00411D9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06A3">
          <w:rPr>
            <w:noProof/>
          </w:rPr>
          <w:t>5</w:t>
        </w:r>
        <w:r>
          <w:fldChar w:fldCharType="end"/>
        </w:r>
      </w:p>
    </w:sdtContent>
  </w:sdt>
  <w:p w:rsidR="0056798F" w:rsidRDefault="00DC33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33E" w:rsidRDefault="00DC333E">
      <w:pPr>
        <w:spacing w:after="0" w:line="240" w:lineRule="auto"/>
      </w:pPr>
      <w:r>
        <w:separator/>
      </w:r>
    </w:p>
  </w:footnote>
  <w:footnote w:type="continuationSeparator" w:id="0">
    <w:p w:rsidR="00DC333E" w:rsidRDefault="00DC3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B7B63"/>
    <w:multiLevelType w:val="hybridMultilevel"/>
    <w:tmpl w:val="93D0FC56"/>
    <w:lvl w:ilvl="0" w:tplc="15D02734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04B6532"/>
    <w:multiLevelType w:val="hybridMultilevel"/>
    <w:tmpl w:val="30D6E380"/>
    <w:lvl w:ilvl="0" w:tplc="BA2E2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5D02734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BE0F64"/>
    <w:multiLevelType w:val="hybridMultilevel"/>
    <w:tmpl w:val="8B9EA09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D0"/>
    <w:rsid w:val="00203084"/>
    <w:rsid w:val="002A06A3"/>
    <w:rsid w:val="003B5E30"/>
    <w:rsid w:val="00407214"/>
    <w:rsid w:val="00411D94"/>
    <w:rsid w:val="00440987"/>
    <w:rsid w:val="0052198F"/>
    <w:rsid w:val="00585C1D"/>
    <w:rsid w:val="007956D0"/>
    <w:rsid w:val="007E4CA8"/>
    <w:rsid w:val="009A0B06"/>
    <w:rsid w:val="00A8375F"/>
    <w:rsid w:val="00B34070"/>
    <w:rsid w:val="00B92489"/>
    <w:rsid w:val="00DC333E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1EFF"/>
  <w15:chartTrackingRefBased/>
  <w15:docId w15:val="{91185FCB-1000-4BB0-9B5A-4B744CC5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Zwykatabela3">
    <w:name w:val="Plain Table 3"/>
    <w:basedOn w:val="Standardowy"/>
    <w:uiPriority w:val="43"/>
    <w:rsid w:val="007956D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7956D0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7956D0"/>
    <w:rPr>
      <w:rFonts w:asciiTheme="minorHAnsi" w:hAnsiTheme="minorHAnsi"/>
      <w:sz w:val="22"/>
    </w:rPr>
  </w:style>
  <w:style w:type="paragraph" w:styleId="Akapitzlist">
    <w:name w:val="List Paragraph"/>
    <w:basedOn w:val="Normalny"/>
    <w:uiPriority w:val="34"/>
    <w:qFormat/>
    <w:rsid w:val="00A837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4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1355</Words>
  <Characters>8136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Kubacka-Batura Ewa</dc:creator>
  <cp:keywords/>
  <dc:description/>
  <cp:lastModifiedBy>Waligóra Lucyna</cp:lastModifiedBy>
  <cp:revision>2</cp:revision>
  <cp:lastPrinted>2024-01-23T08:52:00Z</cp:lastPrinted>
  <dcterms:created xsi:type="dcterms:W3CDTF">2024-01-23T08:52:00Z</dcterms:created>
  <dcterms:modified xsi:type="dcterms:W3CDTF">2024-01-23T08:52:00Z</dcterms:modified>
</cp:coreProperties>
</file>