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84" w:rsidRDefault="00203084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Leszno, dnia 24 marca 2023r.</w:t>
      </w:r>
    </w:p>
    <w:p w:rsidR="00203084" w:rsidRDefault="00203084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</w:t>
      </w:r>
    </w:p>
    <w:p w:rsidR="00203084" w:rsidRDefault="00203084" w:rsidP="00203084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A8375F" w:rsidRPr="007956D0" w:rsidRDefault="00A8375F" w:rsidP="00A8375F">
      <w:pPr>
        <w:spacing w:after="0" w:line="276" w:lineRule="auto"/>
        <w:jc w:val="center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KONKURS NA STANOWISKO ASYSTENTA SĘDZIEGO NR 1/2023</w:t>
      </w:r>
    </w:p>
    <w:p w:rsidR="00A8375F" w:rsidRPr="007956D0" w:rsidRDefault="00A8375F" w:rsidP="00A8375F">
      <w:pPr>
        <w:spacing w:after="0" w:line="276" w:lineRule="auto"/>
        <w:jc w:val="center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II ETAP KONKURSU</w:t>
      </w:r>
    </w:p>
    <w:p w:rsidR="00203084" w:rsidRDefault="00203084" w:rsidP="00203084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203084" w:rsidRDefault="00203084" w:rsidP="00203084">
      <w:pPr>
        <w:spacing w:after="0" w:line="24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</w:p>
    <w:p w:rsidR="00203084" w:rsidRPr="00203084" w:rsidRDefault="00203084" w:rsidP="00203084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203084">
        <w:rPr>
          <w:rFonts w:eastAsia="Times New Roman" w:cs="Times New Roman"/>
          <w:b/>
          <w:szCs w:val="24"/>
          <w:lang w:eastAsia="pl-PL"/>
        </w:rPr>
        <w:t>TEST -</w:t>
      </w:r>
      <w:r w:rsidRPr="00203084">
        <w:rPr>
          <w:rFonts w:eastAsia="Times New Roman" w:cs="Times New Roman"/>
          <w:b/>
          <w:bCs/>
          <w:szCs w:val="24"/>
          <w:lang w:eastAsia="pl-PL"/>
        </w:rPr>
        <w:t xml:space="preserve"> blok karny</w:t>
      </w:r>
    </w:p>
    <w:p w:rsidR="00203084" w:rsidRPr="00203084" w:rsidRDefault="00203084" w:rsidP="00203084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komisja przyznaje 1 punkt. W przypadku dokonania przez kandydata zmian zakreślonych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odpowiedzi za dane zadanie testowe komisja przyznaje 0 punktów.</w:t>
      </w:r>
    </w:p>
    <w:p w:rsidR="003B5E30" w:rsidRDefault="003B5E30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</w:p>
    <w:p w:rsidR="003B5E30" w:rsidRDefault="003B5E30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</w:p>
    <w:p w:rsidR="00203084" w:rsidRDefault="003B5E30" w:rsidP="003B5E30">
      <w:pPr>
        <w:spacing w:after="0" w:line="276" w:lineRule="auto"/>
        <w:rPr>
          <w:b/>
        </w:rPr>
      </w:pPr>
      <w:r w:rsidRPr="003B5E30">
        <w:rPr>
          <w:b/>
        </w:rPr>
        <w:t>Imię i nazwisko kandydata - ..................................................................................</w:t>
      </w:r>
      <w:r>
        <w:rPr>
          <w:b/>
        </w:rPr>
        <w:t>...................</w:t>
      </w:r>
    </w:p>
    <w:p w:rsidR="003B5E30" w:rsidRPr="003B5E30" w:rsidRDefault="003B5E30" w:rsidP="003B5E30">
      <w:pPr>
        <w:spacing w:after="0" w:line="276" w:lineRule="auto"/>
        <w:rPr>
          <w:rFonts w:cs="Times New Roman"/>
          <w:b/>
          <w:szCs w:val="24"/>
        </w:rPr>
      </w:pPr>
    </w:p>
    <w:p w:rsidR="00203084" w:rsidRPr="003B5E30" w:rsidRDefault="00203084" w:rsidP="007956D0">
      <w:pPr>
        <w:spacing w:after="0" w:line="276" w:lineRule="auto"/>
        <w:jc w:val="both"/>
        <w:rPr>
          <w:rFonts w:cs="Times New Roman"/>
          <w:b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Zgodnie z Kodeksem karnym zbrodnię można popełnić: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tylko umyślnie,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umyślnie albo nieumyślnie,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umyślnie, a gdy ustawa tak stanowi, także nieumyślnie.</w:t>
      </w:r>
    </w:p>
    <w:p w:rsidR="007956D0" w:rsidRPr="007956D0" w:rsidRDefault="007956D0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Zgodnie z Kodeksem karnym nie podlega karze za usiłowanie, kto: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dobrowolnie odstąpił od dokonania i zapobiegł skutkowi stanowiącemu znamię czynu zabronionego,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dobrowolnie odstąpił od dokonania lub zapobiegł skutkowi stanowiącemu znamię czynu zabronionego, 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dobrowolnie odstąpił od dokonania lub starał się zapobiec skutkowi stanowiącemu znamię czynu zabronionego.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 </w:t>
      </w: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Zgodnie z Kodeksem karnym sąd wymierza karę za podżeganie lub pomocnictwo: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powyżej dolnej granicy zagrożenia przewidzianego za sprawstwo,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powyżej górnej granicy zagrożenia przewidzianego za sprawstwo, 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w granicach zagrożenia przewidzianego za sprawstwo.</w:t>
      </w:r>
    </w:p>
    <w:p w:rsidR="007956D0" w:rsidRPr="007956D0" w:rsidRDefault="007956D0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Zgodnie z Kodeksem karnym nie popełnia przestępstwa, kto w obronie koniecznej: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odpiera bezpośredni zamach na jakiekolwiek dobro chronione prawem,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odpiera bezpośredni, bezprawny zamach wyłącznie na przysługujące mu dobro chronione prawem,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odpiera bezpośredni, bezprawny zamach na jakiekolwiek dobro chronione prawem.</w:t>
      </w:r>
    </w:p>
    <w:p w:rsidR="007956D0" w:rsidRPr="007956D0" w:rsidRDefault="007956D0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Zgodnie z Kodeksem</w:t>
      </w:r>
      <w:r w:rsidR="007E4CA8">
        <w:rPr>
          <w:rFonts w:cs="Times New Roman"/>
          <w:b/>
          <w:szCs w:val="24"/>
        </w:rPr>
        <w:t xml:space="preserve"> karnym młodocianym jest sprawca</w:t>
      </w:r>
      <w:r w:rsidRPr="007956D0">
        <w:rPr>
          <w:rFonts w:cs="Times New Roman"/>
          <w:b/>
          <w:szCs w:val="24"/>
        </w:rPr>
        <w:t>, który: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w chwili popełnienia czynu zabronionego nie ukończył 21 lat i w czasie orzekania w pierwszej instancji 26 lat,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w chwili popełnienia czynu zabronionego nie ukończył 21 lat i w czasie orzekania w pierwszej instancji 24 lat,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w chwili popełnienia czynu zabronionego nie ukończył 18 lat i w czasie orzekania w pierwszej instancji 24 lat.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 </w:t>
      </w:r>
    </w:p>
    <w:p w:rsidR="007956D0" w:rsidRPr="007956D0" w:rsidRDefault="007956D0" w:rsidP="007956D0">
      <w:pPr>
        <w:numPr>
          <w:ilvl w:val="0"/>
          <w:numId w:val="1"/>
        </w:numPr>
        <w:spacing w:after="0" w:line="360" w:lineRule="auto"/>
        <w:contextualSpacing/>
        <w:jc w:val="both"/>
        <w:outlineLvl w:val="0"/>
        <w:rPr>
          <w:rFonts w:eastAsia="Calibri" w:cs="Times New Roman"/>
          <w:b/>
          <w:bCs/>
          <w:szCs w:val="24"/>
        </w:rPr>
      </w:pPr>
      <w:r w:rsidRPr="007956D0">
        <w:rPr>
          <w:rFonts w:cs="Times New Roman"/>
          <w:b/>
          <w:szCs w:val="24"/>
        </w:rPr>
        <w:t xml:space="preserve">Zgodnie z Kodeksem karnym </w:t>
      </w:r>
      <w:r w:rsidRPr="007956D0">
        <w:rPr>
          <w:rFonts w:eastAsia="Calibri" w:cs="Times New Roman"/>
          <w:b/>
          <w:bCs/>
          <w:szCs w:val="24"/>
        </w:rPr>
        <w:t>karę ograniczenia wolności można orzec maksymalnie: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outlineLvl w:val="0"/>
        <w:rPr>
          <w:rFonts w:eastAsia="Calibri" w:cs="Times New Roman"/>
          <w:bCs/>
          <w:szCs w:val="24"/>
        </w:rPr>
      </w:pPr>
      <w:r w:rsidRPr="007956D0">
        <w:rPr>
          <w:rFonts w:eastAsia="Calibri" w:cs="Times New Roman"/>
          <w:bCs/>
          <w:szCs w:val="24"/>
        </w:rPr>
        <w:t>do lat 2,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outlineLvl w:val="0"/>
        <w:rPr>
          <w:rFonts w:eastAsia="Calibri" w:cs="Times New Roman"/>
          <w:bCs/>
          <w:szCs w:val="24"/>
        </w:rPr>
      </w:pPr>
      <w:r w:rsidRPr="007956D0">
        <w:rPr>
          <w:rFonts w:eastAsia="Calibri" w:cs="Times New Roman"/>
          <w:bCs/>
          <w:szCs w:val="24"/>
        </w:rPr>
        <w:t>do 12 miesięcy,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outlineLvl w:val="0"/>
        <w:rPr>
          <w:rFonts w:eastAsia="Calibri" w:cs="Times New Roman"/>
          <w:bCs/>
          <w:szCs w:val="24"/>
        </w:rPr>
      </w:pPr>
      <w:r w:rsidRPr="007956D0">
        <w:rPr>
          <w:rFonts w:eastAsia="Calibri" w:cs="Times New Roman"/>
          <w:bCs/>
          <w:szCs w:val="24"/>
        </w:rPr>
        <w:t>do 6 miesięcy.</w:t>
      </w:r>
    </w:p>
    <w:p w:rsidR="007956D0" w:rsidRPr="007956D0" w:rsidRDefault="007956D0" w:rsidP="007956D0">
      <w:pPr>
        <w:spacing w:after="0" w:line="276" w:lineRule="auto"/>
        <w:ind w:left="1440"/>
        <w:contextualSpacing/>
        <w:jc w:val="both"/>
        <w:outlineLvl w:val="0"/>
        <w:rPr>
          <w:rFonts w:eastAsia="Calibri" w:cs="Times New Roman"/>
          <w:bCs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Zgodnie z Kodeksem karnym przepisy części ogólnej tego kodeksu stosuje się: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do innych ustaw przewidujących odpowiedzialność karną,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do innych ustaw przewidujących odpowiedzialność karną, chyba że ustawy te wyraźnie wyłączają ich zastosowanie,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do innych ustaw przewidujących odpowiedzialność karną, chyba niniejszy kodeks stanowi inaczej.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 </w:t>
      </w:r>
    </w:p>
    <w:p w:rsidR="007956D0" w:rsidRPr="007956D0" w:rsidRDefault="007956D0" w:rsidP="007956D0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7956D0">
        <w:rPr>
          <w:rFonts w:cs="Times New Roman"/>
          <w:b/>
          <w:szCs w:val="24"/>
        </w:rPr>
        <w:t xml:space="preserve">Zgodnie z Kodeksem karnym, </w:t>
      </w:r>
      <w:r w:rsidRPr="007956D0">
        <w:rPr>
          <w:rFonts w:eastAsia="Times New Roman" w:cs="Times New Roman"/>
          <w:b/>
          <w:szCs w:val="24"/>
          <w:lang w:eastAsia="pl-PL"/>
        </w:rPr>
        <w:t>wydanie wyroku nakazowego jest niedopuszczalne</w:t>
      </w:r>
    </w:p>
    <w:p w:rsidR="007956D0" w:rsidRPr="007956D0" w:rsidRDefault="007956D0" w:rsidP="007956D0">
      <w:pPr>
        <w:spacing w:after="0" w:line="240" w:lineRule="auto"/>
        <w:ind w:left="720"/>
        <w:contextualSpacing/>
        <w:jc w:val="both"/>
        <w:rPr>
          <w:rFonts w:eastAsia="Times New Roman" w:cs="Times New Roman"/>
          <w:b/>
          <w:szCs w:val="24"/>
          <w:lang w:eastAsia="pl-PL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7956D0">
        <w:rPr>
          <w:rFonts w:eastAsia="Times New Roman" w:cs="Times New Roman"/>
          <w:szCs w:val="24"/>
          <w:lang w:eastAsia="pl-PL"/>
        </w:rPr>
        <w:t>w stosunku do sprawcy uprzednio skazanego w warunkach art. 64§2</w:t>
      </w:r>
      <w:r w:rsidR="00A8375F">
        <w:rPr>
          <w:rFonts w:eastAsia="Times New Roman" w:cs="Times New Roman"/>
          <w:szCs w:val="24"/>
          <w:lang w:eastAsia="pl-PL"/>
        </w:rPr>
        <w:t xml:space="preserve"> </w:t>
      </w:r>
      <w:r w:rsidRPr="007956D0">
        <w:rPr>
          <w:rFonts w:eastAsia="Times New Roman" w:cs="Times New Roman"/>
          <w:szCs w:val="24"/>
          <w:lang w:eastAsia="pl-PL"/>
        </w:rPr>
        <w:t xml:space="preserve">kk, 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7956D0">
        <w:rPr>
          <w:rFonts w:eastAsia="Times New Roman" w:cs="Times New Roman"/>
          <w:szCs w:val="24"/>
          <w:lang w:eastAsia="pl-PL"/>
        </w:rPr>
        <w:t xml:space="preserve">w stosunku do sprawcy uprzednio skazanego na karę pozbawienia wolności, 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7956D0">
        <w:rPr>
          <w:rFonts w:eastAsia="Times New Roman" w:cs="Times New Roman"/>
          <w:szCs w:val="24"/>
          <w:lang w:eastAsia="pl-PL"/>
        </w:rPr>
        <w:t>w sprawie z oskarżenia prywatnego</w:t>
      </w:r>
      <w:r w:rsidR="00A8375F">
        <w:rPr>
          <w:rFonts w:eastAsia="Times New Roman" w:cs="Times New Roman"/>
          <w:szCs w:val="24"/>
          <w:lang w:eastAsia="pl-PL"/>
        </w:rPr>
        <w:t>.</w:t>
      </w:r>
      <w:r w:rsidRPr="007956D0">
        <w:rPr>
          <w:rFonts w:eastAsia="Times New Roman" w:cs="Times New Roman"/>
          <w:szCs w:val="24"/>
          <w:lang w:eastAsia="pl-PL"/>
        </w:rPr>
        <w:t xml:space="preserve"> </w:t>
      </w:r>
    </w:p>
    <w:p w:rsidR="007956D0" w:rsidRPr="007956D0" w:rsidRDefault="007956D0" w:rsidP="007956D0">
      <w:pPr>
        <w:spacing w:after="0" w:line="240" w:lineRule="auto"/>
        <w:ind w:left="1440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7956D0" w:rsidRPr="007956D0" w:rsidRDefault="007956D0" w:rsidP="007956D0">
      <w:pPr>
        <w:spacing w:after="0" w:line="240" w:lineRule="auto"/>
        <w:ind w:left="1440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7956D0">
        <w:rPr>
          <w:rFonts w:cs="Times New Roman"/>
          <w:b/>
          <w:szCs w:val="24"/>
        </w:rPr>
        <w:t xml:space="preserve">Zgodnie z Kodeksem karnym  </w:t>
      </w:r>
      <w:r w:rsidRPr="007956D0">
        <w:rPr>
          <w:rFonts w:eastAsia="Times New Roman" w:cs="Times New Roman"/>
          <w:b/>
          <w:szCs w:val="24"/>
          <w:lang w:eastAsia="pl-PL"/>
        </w:rPr>
        <w:t>jeżeli czyn wyczerpuje znamiona określone w dwóch albo więcej przepisach ustawy karnej :</w:t>
      </w:r>
    </w:p>
    <w:p w:rsidR="00A8375F" w:rsidRDefault="00A8375F" w:rsidP="00A8375F">
      <w:pPr>
        <w:spacing w:after="0" w:line="276" w:lineRule="auto"/>
        <w:ind w:left="1440"/>
        <w:contextualSpacing/>
        <w:jc w:val="both"/>
        <w:rPr>
          <w:rFonts w:eastAsia="Times New Roman" w:cs="Times New Roman"/>
          <w:b/>
          <w:szCs w:val="24"/>
          <w:lang w:eastAsia="pl-PL"/>
        </w:rPr>
      </w:pPr>
    </w:p>
    <w:p w:rsidR="00A8375F" w:rsidRPr="00A8375F" w:rsidRDefault="007956D0" w:rsidP="00A8375F">
      <w:pPr>
        <w:pStyle w:val="Akapitzlist"/>
        <w:numPr>
          <w:ilvl w:val="0"/>
          <w:numId w:val="3"/>
        </w:numPr>
        <w:spacing w:after="0" w:line="276" w:lineRule="auto"/>
        <w:ind w:left="1560" w:hanging="284"/>
        <w:jc w:val="both"/>
        <w:rPr>
          <w:rFonts w:eastAsia="Times New Roman" w:cs="Times New Roman"/>
          <w:b/>
          <w:szCs w:val="24"/>
          <w:lang w:eastAsia="pl-PL"/>
        </w:rPr>
      </w:pPr>
      <w:r w:rsidRPr="00A8375F">
        <w:rPr>
          <w:rFonts w:eastAsia="Times New Roman" w:cs="Times New Roman"/>
          <w:szCs w:val="24"/>
          <w:lang w:eastAsia="pl-PL"/>
        </w:rPr>
        <w:t>sąd  wymierza karę na podstawie wszystkich zbiegających się przepisów,</w:t>
      </w:r>
    </w:p>
    <w:p w:rsidR="00A8375F" w:rsidRPr="00A8375F" w:rsidRDefault="007956D0" w:rsidP="00A8375F">
      <w:pPr>
        <w:pStyle w:val="Akapitzlist"/>
        <w:numPr>
          <w:ilvl w:val="0"/>
          <w:numId w:val="3"/>
        </w:numPr>
        <w:spacing w:after="0" w:line="276" w:lineRule="auto"/>
        <w:ind w:left="1560" w:hanging="284"/>
        <w:jc w:val="both"/>
        <w:rPr>
          <w:rFonts w:eastAsia="Times New Roman" w:cs="Times New Roman"/>
          <w:b/>
          <w:szCs w:val="24"/>
          <w:lang w:eastAsia="pl-PL"/>
        </w:rPr>
      </w:pPr>
      <w:r w:rsidRPr="00A8375F">
        <w:rPr>
          <w:rFonts w:eastAsia="Times New Roman" w:cs="Times New Roman"/>
          <w:szCs w:val="24"/>
          <w:lang w:eastAsia="pl-PL"/>
        </w:rPr>
        <w:t>sąd wymierza karę na podstawie przepisu przewidującego karę najsurowszą, ale nie orzeka środka karnego, jeśli wszystkie zbiegające przepisy go nie przewidują,</w:t>
      </w:r>
    </w:p>
    <w:p w:rsidR="007956D0" w:rsidRPr="00A8375F" w:rsidRDefault="007956D0" w:rsidP="00A8375F">
      <w:pPr>
        <w:pStyle w:val="Akapitzlist"/>
        <w:numPr>
          <w:ilvl w:val="0"/>
          <w:numId w:val="3"/>
        </w:numPr>
        <w:spacing w:after="0" w:line="276" w:lineRule="auto"/>
        <w:ind w:left="1560" w:hanging="284"/>
        <w:jc w:val="both"/>
        <w:rPr>
          <w:rFonts w:eastAsia="Times New Roman" w:cs="Times New Roman"/>
          <w:b/>
          <w:szCs w:val="24"/>
          <w:lang w:eastAsia="pl-PL"/>
        </w:rPr>
      </w:pPr>
      <w:r w:rsidRPr="00A8375F">
        <w:rPr>
          <w:rFonts w:eastAsia="Times New Roman" w:cs="Times New Roman"/>
          <w:szCs w:val="24"/>
          <w:lang w:eastAsia="pl-PL"/>
        </w:rPr>
        <w:t xml:space="preserve"> sąd wymierza karę na podstawie przepisu przewidującego karę najsurowszą, co  nie stoi na przeszkodzie orzeczeniu innych środków przewidzianych w ustawie na podstawie wszystkich zbiegających się przepisów.</w:t>
      </w:r>
    </w:p>
    <w:p w:rsidR="007956D0" w:rsidRPr="007956D0" w:rsidRDefault="007956D0" w:rsidP="007956D0">
      <w:pPr>
        <w:spacing w:line="276" w:lineRule="auto"/>
        <w:ind w:left="1276"/>
        <w:contextualSpacing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:rsidR="007956D0" w:rsidRPr="007956D0" w:rsidRDefault="007956D0" w:rsidP="007956D0">
      <w:pPr>
        <w:spacing w:after="0" w:line="360" w:lineRule="auto"/>
        <w:ind w:left="1146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56D0">
        <w:rPr>
          <w:rFonts w:cs="Times New Roman"/>
          <w:b/>
          <w:bCs/>
          <w:szCs w:val="24"/>
        </w:rPr>
        <w:lastRenderedPageBreak/>
        <w:t>Zgodnie z Kodeksem postępowania karnego pokrzywdzony w sprawach, w których akt oskarżenia wniósł  oskarżyciel publiczny, może złożyć oświadczenie, że będzie działał w charakterze oskarżyciela posiłkowego: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7956D0" w:rsidRPr="007956D0" w:rsidRDefault="007956D0" w:rsidP="007956D0">
      <w:pPr>
        <w:autoSpaceDE w:val="0"/>
        <w:autoSpaceDN w:val="0"/>
        <w:adjustRightInd w:val="0"/>
        <w:spacing w:line="240" w:lineRule="auto"/>
        <w:ind w:left="708" w:firstLine="12"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      a.  do zakończenia jego pierwszego przesłuchania na rozprawie głównej,</w:t>
      </w:r>
    </w:p>
    <w:p w:rsidR="007956D0" w:rsidRPr="007956D0" w:rsidRDefault="007956D0" w:rsidP="007956D0">
      <w:pPr>
        <w:autoSpaceDE w:val="0"/>
        <w:autoSpaceDN w:val="0"/>
        <w:adjustRightInd w:val="0"/>
        <w:spacing w:line="240" w:lineRule="auto"/>
        <w:ind w:left="708" w:firstLine="12"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      b.  na każdym etapie postępowania,</w:t>
      </w:r>
    </w:p>
    <w:p w:rsidR="007956D0" w:rsidRPr="007956D0" w:rsidRDefault="007956D0" w:rsidP="007956D0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      c. do czasu rozpoczęcia przewod</w:t>
      </w:r>
      <w:r w:rsidR="00A8375F">
        <w:rPr>
          <w:rFonts w:cs="Times New Roman"/>
          <w:szCs w:val="24"/>
        </w:rPr>
        <w:t>u sądowego na rozprawie głównej.</w:t>
      </w:r>
    </w:p>
    <w:p w:rsidR="007956D0" w:rsidRPr="007956D0" w:rsidRDefault="007956D0" w:rsidP="007956D0">
      <w:pPr>
        <w:spacing w:after="0" w:line="240" w:lineRule="auto"/>
        <w:ind w:left="720"/>
        <w:contextualSpacing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56D0">
        <w:rPr>
          <w:rFonts w:cs="Times New Roman"/>
          <w:b/>
          <w:bCs/>
          <w:szCs w:val="24"/>
        </w:rPr>
        <w:t>Zgodnie z Kodeksem postępowania karnego sędzia nie jest z mocy prawa wyłączony od udziału w sprawie, jeżeli: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sprawa dotyczy tego sędziego bezpośrednio,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brał udział w wydaniu orzeczenia, które zostało uchylone,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znana mu osoba była świadkiem czynu, o który sprawa się toczy.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 </w:t>
      </w: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56D0">
        <w:rPr>
          <w:rFonts w:cs="Times New Roman"/>
          <w:b/>
          <w:bCs/>
          <w:szCs w:val="24"/>
        </w:rPr>
        <w:t>Zgodnie z Kodeksem postępowania karnego, jeżeli ustawa nie wymaga wydania wyroku, sąd wydaje: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decyzję,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zarządzenie,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postanowienie.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 xml:space="preserve"> </w:t>
      </w: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56D0">
        <w:rPr>
          <w:rFonts w:cs="Times New Roman"/>
          <w:b/>
          <w:bCs/>
          <w:szCs w:val="24"/>
        </w:rPr>
        <w:t xml:space="preserve">Zgodnie z Kodeksem postępowania karnego oczywiste omyłki pisarskie i rachunkowe oraz w obliczeniu terminów w orzeczeniu lub zarządzeniu albo w ich uzasadnieniu można sprostować: 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do zakończenia postępowania przed sądem pierwszej instancji,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do zakończenia postępowania przed sądem drugiej instancji,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w każdym czasie.</w:t>
      </w:r>
    </w:p>
    <w:p w:rsidR="007956D0" w:rsidRPr="007956D0" w:rsidRDefault="007956D0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56D0">
        <w:rPr>
          <w:rFonts w:cs="Times New Roman"/>
          <w:b/>
          <w:bCs/>
          <w:szCs w:val="24"/>
        </w:rPr>
        <w:t>Zgodnie z Kodeksem postępowania karnego jeżeli pismo nie odpowiada wymaganiom formalnym, przewidzianym w art. 119 lub w przepisach szczególnych, a brak jest tego rodzaju, że pismo nie może otrzymać biegu, albo brak polega na niezłożeniu należytych opłat lub upoważnienia do podjęcia czynności procesowej: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wzywa się osobę, która wniosła pismo, do usunięcia braku w terminie 7 dni,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zwraca się pismo osobie, której wniosła pismo z możliwością jego uzupełnienia w terminie 7 dni,</w:t>
      </w:r>
    </w:p>
    <w:p w:rsid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zwraca się pismo osobie, której wniosła pismo z możliwością jego uzupełnienia w terminie 14 dni.</w:t>
      </w:r>
    </w:p>
    <w:p w:rsidR="003B5E30" w:rsidRDefault="003B5E30" w:rsidP="003B5E30">
      <w:pPr>
        <w:spacing w:after="0" w:line="276" w:lineRule="auto"/>
        <w:ind w:left="1440"/>
        <w:contextualSpacing/>
        <w:jc w:val="both"/>
        <w:rPr>
          <w:rFonts w:cs="Times New Roman"/>
          <w:szCs w:val="24"/>
        </w:rPr>
      </w:pPr>
      <w:bookmarkStart w:id="0" w:name="_GoBack"/>
      <w:bookmarkEnd w:id="0"/>
    </w:p>
    <w:p w:rsidR="00A8375F" w:rsidRPr="007956D0" w:rsidRDefault="00A8375F" w:rsidP="00A8375F">
      <w:pPr>
        <w:spacing w:after="0" w:line="276" w:lineRule="auto"/>
        <w:ind w:left="1440"/>
        <w:contextualSpacing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56D0">
        <w:rPr>
          <w:rFonts w:cs="Times New Roman"/>
          <w:b/>
          <w:bCs/>
          <w:szCs w:val="24"/>
        </w:rPr>
        <w:lastRenderedPageBreak/>
        <w:t xml:space="preserve">Zgodnie z Kodeksem postępowania karnego rozprawę główną rozpoczyna: 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zwięzłe przedstawienie aktu oskarżenia,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sprawdzenie obecności,</w:t>
      </w:r>
    </w:p>
    <w:p w:rsid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wywołanie sprawy.</w:t>
      </w:r>
    </w:p>
    <w:p w:rsidR="007E4CA8" w:rsidRPr="007956D0" w:rsidRDefault="007E4CA8" w:rsidP="007E4CA8">
      <w:pPr>
        <w:spacing w:after="0" w:line="276" w:lineRule="auto"/>
        <w:ind w:left="1440"/>
        <w:contextualSpacing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56D0">
        <w:rPr>
          <w:rFonts w:cs="Times New Roman"/>
          <w:b/>
          <w:bCs/>
          <w:szCs w:val="24"/>
        </w:rPr>
        <w:t xml:space="preserve">Zgodnie z Kodeksem postępowania karnego jeżeli w toku rozprawy okaże się, że nie wychodząc poza granice oskarżenia można czyn zakwalifikować według innego przepisu prawnego, sąd: 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uprzedza o tym obecne na rozprawie strony,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wydaje wyrok uniewinniający,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umarza postępowanie.</w:t>
      </w:r>
    </w:p>
    <w:p w:rsidR="007956D0" w:rsidRPr="007956D0" w:rsidRDefault="007956D0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7956D0">
        <w:rPr>
          <w:rFonts w:cs="Times New Roman"/>
          <w:b/>
          <w:bCs/>
          <w:szCs w:val="24"/>
        </w:rPr>
        <w:t xml:space="preserve">Zgodnie z Kodeksem postępowania karnego </w:t>
      </w:r>
      <w:r w:rsidRPr="007956D0">
        <w:rPr>
          <w:rFonts w:eastAsia="Times New Roman" w:cs="Times New Roman"/>
          <w:b/>
          <w:szCs w:val="24"/>
          <w:lang w:eastAsia="pl-PL"/>
        </w:rPr>
        <w:t>w razie umorzenia postępowania karnego o przestępstwo ścigane z oskarżenia publicznego koszty procesu ponosi:</w:t>
      </w:r>
    </w:p>
    <w:p w:rsidR="007956D0" w:rsidRPr="007956D0" w:rsidRDefault="007956D0" w:rsidP="007956D0">
      <w:pPr>
        <w:spacing w:after="0" w:line="276" w:lineRule="auto"/>
        <w:ind w:left="720"/>
        <w:contextualSpacing/>
        <w:jc w:val="both"/>
        <w:rPr>
          <w:rFonts w:eastAsia="Times New Roman" w:cs="Times New Roman"/>
          <w:b/>
          <w:szCs w:val="24"/>
          <w:lang w:eastAsia="pl-PL"/>
        </w:rPr>
      </w:pP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eastAsia="Times New Roman" w:cs="Times New Roman"/>
          <w:szCs w:val="24"/>
          <w:lang w:eastAsia="pl-PL"/>
        </w:rPr>
        <w:t>co do zasady Skarb Państwa, z wyjątkiem należności z tytułu udziału adwokata lub radcy prawnego ustanowionego w charakterze pełnomocnika pokrzywdzonego, oskarżyciela posiłkowego albo innej osoby,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eastAsia="Times New Roman" w:cs="Times New Roman"/>
          <w:szCs w:val="24"/>
          <w:lang w:eastAsia="pl-PL"/>
        </w:rPr>
        <w:t>w całości Skarb Państwa,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eastAsia="Times New Roman" w:cs="Times New Roman"/>
          <w:szCs w:val="24"/>
          <w:lang w:eastAsia="pl-PL"/>
        </w:rPr>
        <w:t>w całości oskarżony.</w:t>
      </w:r>
    </w:p>
    <w:p w:rsidR="007956D0" w:rsidRPr="007956D0" w:rsidRDefault="007956D0" w:rsidP="007956D0">
      <w:pPr>
        <w:spacing w:line="276" w:lineRule="auto"/>
        <w:ind w:left="720"/>
        <w:contextualSpacing/>
        <w:rPr>
          <w:rFonts w:eastAsia="Times New Roman" w:cs="Times New Roman"/>
          <w:szCs w:val="24"/>
          <w:lang w:eastAsia="pl-PL"/>
        </w:rPr>
      </w:pPr>
    </w:p>
    <w:p w:rsidR="007956D0" w:rsidRPr="007956D0" w:rsidRDefault="007956D0" w:rsidP="007956D0">
      <w:pPr>
        <w:spacing w:after="0" w:line="240" w:lineRule="auto"/>
        <w:ind w:left="1440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7956D0" w:rsidRPr="007956D0" w:rsidRDefault="007956D0" w:rsidP="007956D0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56D0">
        <w:rPr>
          <w:rFonts w:cs="Times New Roman"/>
          <w:b/>
          <w:bCs/>
          <w:szCs w:val="24"/>
        </w:rPr>
        <w:t>Zgodnie z Kodeksem postępowania karnego, jeżeli środek odwoławczy wniesiony został po terminie lub przez osobę nieuprawnioną albo jest niedopuszczalny z mocy ustawy, to: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prezes sądu pierwszej instancji odmawia jego przyjęcia, a na zarządzenie przysługuje zażalenie,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sędzia odmawia jego przyjęcia, a na zarządzenie nie przysługuje zażalenie,</w:t>
      </w:r>
    </w:p>
    <w:p w:rsidR="007956D0" w:rsidRPr="007956D0" w:rsidRDefault="007956D0" w:rsidP="007956D0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56D0">
        <w:rPr>
          <w:rFonts w:cs="Times New Roman"/>
          <w:szCs w:val="24"/>
        </w:rPr>
        <w:t>sędzia zarządza jego zwrot, a na zarządzenie przysługuje zażalenie.</w:t>
      </w:r>
    </w:p>
    <w:p w:rsidR="007956D0" w:rsidRPr="007956D0" w:rsidRDefault="007956D0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7956D0" w:rsidRDefault="007956D0" w:rsidP="007956D0">
      <w:pPr>
        <w:spacing w:after="0" w:line="276" w:lineRule="auto"/>
        <w:jc w:val="both"/>
        <w:rPr>
          <w:rFonts w:cs="Times New Roman"/>
          <w:b/>
          <w:bCs/>
          <w:szCs w:val="24"/>
        </w:rPr>
      </w:pPr>
    </w:p>
    <w:p w:rsidR="00440987" w:rsidRPr="007956D0" w:rsidRDefault="00440987" w:rsidP="007956D0">
      <w:pPr>
        <w:spacing w:after="0" w:line="276" w:lineRule="auto"/>
        <w:jc w:val="both"/>
        <w:rPr>
          <w:rFonts w:cs="Times New Roman"/>
          <w:szCs w:val="24"/>
        </w:rPr>
      </w:pPr>
    </w:p>
    <w:p w:rsidR="00B92489" w:rsidRDefault="00B92489" w:rsidP="007956D0">
      <w:pPr>
        <w:spacing w:after="0" w:line="276" w:lineRule="auto"/>
        <w:jc w:val="both"/>
      </w:pPr>
    </w:p>
    <w:sectPr w:rsidR="00B92489" w:rsidSect="003B5E30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070" w:rsidRDefault="00B34070">
      <w:pPr>
        <w:spacing w:after="0" w:line="240" w:lineRule="auto"/>
      </w:pPr>
      <w:r>
        <w:separator/>
      </w:r>
    </w:p>
  </w:endnote>
  <w:endnote w:type="continuationSeparator" w:id="0">
    <w:p w:rsidR="00B34070" w:rsidRDefault="00B3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815673"/>
      <w:docPartObj>
        <w:docPartGallery w:val="Page Numbers (Bottom of Page)"/>
        <w:docPartUnique/>
      </w:docPartObj>
    </w:sdtPr>
    <w:sdtEndPr/>
    <w:sdtContent>
      <w:p w:rsidR="0056798F" w:rsidRDefault="00411D9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E30">
          <w:rPr>
            <w:noProof/>
          </w:rPr>
          <w:t>4</w:t>
        </w:r>
        <w:r>
          <w:fldChar w:fldCharType="end"/>
        </w:r>
      </w:p>
    </w:sdtContent>
  </w:sdt>
  <w:p w:rsidR="0056798F" w:rsidRDefault="00B340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070" w:rsidRDefault="00B34070">
      <w:pPr>
        <w:spacing w:after="0" w:line="240" w:lineRule="auto"/>
      </w:pPr>
      <w:r>
        <w:separator/>
      </w:r>
    </w:p>
  </w:footnote>
  <w:footnote w:type="continuationSeparator" w:id="0">
    <w:p w:rsidR="00B34070" w:rsidRDefault="00B34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B7B63"/>
    <w:multiLevelType w:val="hybridMultilevel"/>
    <w:tmpl w:val="93D0FC56"/>
    <w:lvl w:ilvl="0" w:tplc="15D02734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04B6532"/>
    <w:multiLevelType w:val="hybridMultilevel"/>
    <w:tmpl w:val="30D6E380"/>
    <w:lvl w:ilvl="0" w:tplc="BA2E2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5D0273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E0F64"/>
    <w:multiLevelType w:val="hybridMultilevel"/>
    <w:tmpl w:val="8B9EA09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D0"/>
    <w:rsid w:val="00203084"/>
    <w:rsid w:val="003B5E30"/>
    <w:rsid w:val="00407214"/>
    <w:rsid w:val="00411D94"/>
    <w:rsid w:val="00440987"/>
    <w:rsid w:val="0052198F"/>
    <w:rsid w:val="00585C1D"/>
    <w:rsid w:val="007956D0"/>
    <w:rsid w:val="007E4CA8"/>
    <w:rsid w:val="009A0B06"/>
    <w:rsid w:val="00A8375F"/>
    <w:rsid w:val="00B34070"/>
    <w:rsid w:val="00B92489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C4FAC"/>
  <w15:chartTrackingRefBased/>
  <w15:docId w15:val="{91185FCB-1000-4BB0-9B5A-4B744CC5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7956D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7956D0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7956D0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A837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4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894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5</cp:revision>
  <cp:lastPrinted>2023-03-22T13:16:00Z</cp:lastPrinted>
  <dcterms:created xsi:type="dcterms:W3CDTF">2023-03-22T08:53:00Z</dcterms:created>
  <dcterms:modified xsi:type="dcterms:W3CDTF">2023-03-22T13:20:00Z</dcterms:modified>
</cp:coreProperties>
</file>