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084" w:rsidRDefault="00913ED2" w:rsidP="00203084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Leszno, dnia 22 maja</w:t>
      </w:r>
      <w:r w:rsidR="002A06A3">
        <w:rPr>
          <w:rFonts w:eastAsia="Times New Roman" w:cs="Times New Roman"/>
          <w:szCs w:val="24"/>
          <w:lang w:eastAsia="pl-PL"/>
        </w:rPr>
        <w:t xml:space="preserve"> 2024r.</w:t>
      </w:r>
    </w:p>
    <w:p w:rsidR="00203084" w:rsidRDefault="00203084" w:rsidP="00203084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 </w:t>
      </w:r>
    </w:p>
    <w:p w:rsidR="00203084" w:rsidRDefault="00203084" w:rsidP="00203084">
      <w:pPr>
        <w:spacing w:after="0" w:line="240" w:lineRule="auto"/>
        <w:ind w:right="-828"/>
        <w:jc w:val="center"/>
        <w:rPr>
          <w:rFonts w:eastAsia="Times New Roman" w:cs="Times New Roman"/>
          <w:szCs w:val="24"/>
          <w:lang w:eastAsia="pl-PL"/>
        </w:rPr>
      </w:pPr>
    </w:p>
    <w:p w:rsidR="00A8375F" w:rsidRPr="00A25EB8" w:rsidRDefault="00A8375F" w:rsidP="00A8375F">
      <w:pPr>
        <w:spacing w:after="0" w:line="276" w:lineRule="auto"/>
        <w:jc w:val="center"/>
        <w:rPr>
          <w:rFonts w:cs="Times New Roman"/>
          <w:b/>
          <w:sz w:val="22"/>
        </w:rPr>
      </w:pPr>
      <w:r w:rsidRPr="00A25EB8">
        <w:rPr>
          <w:rFonts w:cs="Times New Roman"/>
          <w:b/>
          <w:sz w:val="22"/>
        </w:rPr>
        <w:t>KONKURS NA ST</w:t>
      </w:r>
      <w:r w:rsidR="00913ED2" w:rsidRPr="00A25EB8">
        <w:rPr>
          <w:rFonts w:cs="Times New Roman"/>
          <w:b/>
          <w:sz w:val="22"/>
        </w:rPr>
        <w:t>ANOWISKO ASYSTENTA SĘDZIEGO NR 1/2024</w:t>
      </w:r>
    </w:p>
    <w:p w:rsidR="00A8375F" w:rsidRPr="00A25EB8" w:rsidRDefault="00A8375F" w:rsidP="00A8375F">
      <w:pPr>
        <w:spacing w:after="0" w:line="276" w:lineRule="auto"/>
        <w:jc w:val="center"/>
        <w:rPr>
          <w:rFonts w:cs="Times New Roman"/>
          <w:b/>
          <w:sz w:val="22"/>
        </w:rPr>
      </w:pPr>
      <w:r w:rsidRPr="00A25EB8">
        <w:rPr>
          <w:rFonts w:cs="Times New Roman"/>
          <w:b/>
          <w:sz w:val="22"/>
        </w:rPr>
        <w:t>II ETAP KONKURSU</w:t>
      </w:r>
    </w:p>
    <w:p w:rsidR="00203084" w:rsidRDefault="00203084" w:rsidP="00203084">
      <w:pPr>
        <w:spacing w:after="0" w:line="24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</w:p>
    <w:p w:rsidR="00203084" w:rsidRPr="00203084" w:rsidRDefault="00203084" w:rsidP="00203084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203084">
        <w:rPr>
          <w:rFonts w:eastAsia="Times New Roman" w:cs="Times New Roman"/>
          <w:b/>
          <w:szCs w:val="24"/>
          <w:lang w:eastAsia="pl-PL"/>
        </w:rPr>
        <w:t>TEST -</w:t>
      </w:r>
      <w:r w:rsidRPr="00203084">
        <w:rPr>
          <w:rFonts w:eastAsia="Times New Roman" w:cs="Times New Roman"/>
          <w:b/>
          <w:bCs/>
          <w:szCs w:val="24"/>
          <w:lang w:eastAsia="pl-PL"/>
        </w:rPr>
        <w:t xml:space="preserve"> blok karny</w:t>
      </w:r>
    </w:p>
    <w:p w:rsidR="00A8375F" w:rsidRDefault="00A8375F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Test jednokrotnego wyboru. Odpowiedź właściwą należy wskazać przez zakreślenie znakiem „X” oznaczenia literowego. Za każde prawidłowe rozwiązanie zadania testowego</w:t>
      </w:r>
    </w:p>
    <w:p w:rsidR="00A8375F" w:rsidRDefault="00A8375F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komisja przyznaje 1 punkt. W przypadku dokonania przez kandydata zmian zakreślonych</w:t>
      </w:r>
    </w:p>
    <w:p w:rsidR="00A8375F" w:rsidRDefault="00A8375F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odpowiedzi za dane zadanie testowe komisja przyznaje 0 punktów.</w:t>
      </w:r>
    </w:p>
    <w:p w:rsidR="003B5E30" w:rsidRDefault="003B5E30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</w:p>
    <w:p w:rsidR="003B5E30" w:rsidRDefault="003B5E30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</w:p>
    <w:p w:rsidR="00203084" w:rsidRDefault="003B5E30" w:rsidP="003B5E30">
      <w:pPr>
        <w:spacing w:after="0" w:line="276" w:lineRule="auto"/>
        <w:rPr>
          <w:b/>
        </w:rPr>
      </w:pPr>
      <w:r w:rsidRPr="003B5E30">
        <w:rPr>
          <w:b/>
        </w:rPr>
        <w:t>Imię i nazwisko kandydata - ..................................................................................</w:t>
      </w:r>
      <w:r>
        <w:rPr>
          <w:b/>
        </w:rPr>
        <w:t>...................</w:t>
      </w:r>
    </w:p>
    <w:p w:rsidR="003B5E30" w:rsidRPr="003B5E30" w:rsidRDefault="003B5E30" w:rsidP="003B5E30">
      <w:pPr>
        <w:spacing w:after="0" w:line="276" w:lineRule="auto"/>
        <w:rPr>
          <w:rFonts w:cs="Times New Roman"/>
          <w:b/>
          <w:szCs w:val="24"/>
        </w:rPr>
      </w:pPr>
    </w:p>
    <w:p w:rsidR="00203084" w:rsidRPr="003B5E30" w:rsidRDefault="00203084" w:rsidP="007956D0">
      <w:pPr>
        <w:spacing w:after="0" w:line="276" w:lineRule="auto"/>
        <w:jc w:val="both"/>
        <w:rPr>
          <w:rFonts w:cs="Times New Roman"/>
          <w:b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497F">
        <w:rPr>
          <w:rFonts w:cs="Times New Roman"/>
          <w:b/>
          <w:szCs w:val="24"/>
        </w:rPr>
        <w:t>Zgodnie z Kodeksem karnym występek kradzieży z włamaniem można popełnić: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913ED2" w:rsidRPr="00AB4A7C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b/>
          <w:szCs w:val="24"/>
        </w:rPr>
      </w:pPr>
      <w:r w:rsidRPr="00AB4A7C">
        <w:rPr>
          <w:rFonts w:cs="Times New Roman"/>
          <w:szCs w:val="24"/>
        </w:rPr>
        <w:t xml:space="preserve">umyślnie, </w:t>
      </w:r>
      <w:r w:rsidR="009238BB">
        <w:rPr>
          <w:rFonts w:cs="Times New Roman"/>
          <w:szCs w:val="24"/>
        </w:rPr>
        <w:t>także w  zamiarze ewentualnym,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umyślnie</w:t>
      </w:r>
      <w:r>
        <w:rPr>
          <w:rFonts w:cs="Times New Roman"/>
          <w:szCs w:val="24"/>
        </w:rPr>
        <w:t xml:space="preserve"> albo</w:t>
      </w:r>
      <w:r w:rsidRPr="0079497F">
        <w:rPr>
          <w:rFonts w:cs="Times New Roman"/>
          <w:szCs w:val="24"/>
        </w:rPr>
        <w:t xml:space="preserve"> nieumyślnie</w:t>
      </w:r>
      <w:r w:rsidR="009238BB"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tylko umyślnie</w:t>
      </w:r>
      <w:r>
        <w:rPr>
          <w:rFonts w:cs="Times New Roman"/>
          <w:szCs w:val="24"/>
        </w:rPr>
        <w:t xml:space="preserve"> w zamiarze bezpośrednim</w:t>
      </w:r>
      <w:r w:rsidR="009238BB">
        <w:rPr>
          <w:rFonts w:cs="Times New Roman"/>
          <w:szCs w:val="24"/>
        </w:rPr>
        <w:t>.</w:t>
      </w:r>
    </w:p>
    <w:p w:rsidR="00913ED2" w:rsidRPr="0079497F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497F">
        <w:rPr>
          <w:rFonts w:cs="Times New Roman"/>
          <w:b/>
          <w:szCs w:val="24"/>
        </w:rPr>
        <w:t>Zgodnie z Kodeksem karnym czyn ciągły to: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dwa lub więcej zachowań, podjętych w krótkich odstępach czasu w wykonaniu z góry powziętego zamiaru, uważa się za jeden czyn zabroniony tylko wtedy, jeżeli przedmiotem zamachu jest dobro osobiste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dwa lub więcej zachowań, podjętych w krótkich odstępach czasu w wykonaniu z góry powziętego zamiaru, uważa się za jeden czyn zabroniony; jeżeli przedmiotem zamachu jest dobro osobiste, warunkiem uznania wielości zachowań za jeden czyn zabroniony jest tożsamość pokrzywdzonego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dwa lub więcej zachowań, podjętych w odstępach czasu w wykonaniu z góry powziętego zamiaru, uważa się za jeden czyn zabroniony niezależnie jakie dobro jest przedmiotem zamachu</w:t>
      </w:r>
      <w:r w:rsidR="009238BB">
        <w:rPr>
          <w:rFonts w:cs="Times New Roman"/>
          <w:szCs w:val="24"/>
        </w:rPr>
        <w:t>.</w:t>
      </w:r>
      <w:r w:rsidRPr="0079497F">
        <w:rPr>
          <w:rFonts w:cs="Times New Roman"/>
          <w:szCs w:val="24"/>
        </w:rPr>
        <w:t xml:space="preserve"> </w:t>
      </w:r>
    </w:p>
    <w:p w:rsidR="00913ED2" w:rsidRPr="0079497F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 xml:space="preserve"> </w:t>
      </w: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497F">
        <w:rPr>
          <w:rFonts w:cs="Times New Roman"/>
          <w:b/>
          <w:szCs w:val="24"/>
        </w:rPr>
        <w:t xml:space="preserve">Zgodnie z Kodeksem karnym za występek popełniony w zw. z art. 64§1 kk 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sąd wymierza karę przewidzianą za przypisane przestępstwo w wysokości powyżej dolnej granicy ustawowego zagrożenia, a może ją wymierzyć w wysokości do górnej granicy ustawowego zagrożenia zwiększonego o połowę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sąd wymierza karę przewidzianą za przypisane przestępstwo w wysokości do górnej granicy ustawowego zagrożenia zwiększonego o połowę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b/>
          <w:szCs w:val="24"/>
        </w:rPr>
      </w:pPr>
      <w:r w:rsidRPr="0079497F">
        <w:rPr>
          <w:rFonts w:cs="Times New Roman"/>
          <w:szCs w:val="24"/>
        </w:rPr>
        <w:t>sąd wymierza karę wolności przewidzianą za przypisane przestępstwo w wysokości od dolnej granicy ustawowego zagrożenia zwiększonego o połowę do górnej granicy ustawowego zagrożenia zwiększonego o połowę.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497F">
        <w:rPr>
          <w:rFonts w:cs="Times New Roman"/>
          <w:b/>
          <w:szCs w:val="24"/>
        </w:rPr>
        <w:t>Zgodnie z Kodeksem karnym recydywa szczególna podstawowa ma miejsce gdy:</w:t>
      </w:r>
    </w:p>
    <w:p w:rsidR="00913ED2" w:rsidRPr="0079497F" w:rsidRDefault="00913ED2" w:rsidP="00913ED2">
      <w:pPr>
        <w:spacing w:after="0" w:line="276" w:lineRule="auto"/>
        <w:contextualSpacing/>
        <w:jc w:val="both"/>
        <w:rPr>
          <w:rFonts w:cs="Times New Roman"/>
          <w:b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jeżeli sprawca skazany za przestępstwo umyślne na karę pozbawienia wolności popełnia w ciągu 5 lat po odbyciu co najmniej 1 roku kary</w:t>
      </w:r>
      <w:r w:rsidR="009238BB">
        <w:rPr>
          <w:rFonts w:cs="Times New Roman"/>
          <w:szCs w:val="24"/>
        </w:rPr>
        <w:t xml:space="preserve"> za</w:t>
      </w:r>
      <w:r w:rsidRPr="0079497F">
        <w:rPr>
          <w:rFonts w:cs="Times New Roman"/>
          <w:szCs w:val="24"/>
        </w:rPr>
        <w:t xml:space="preserve"> umyślne przestępstwo podobne do przestępstwa, za które był już skazany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jeżeli sprawca skazany za przestępstwo umyślne na karę pozbawienia wolności popełnia w ciągu 5 lat po odbyciu co najmniej 6 miesięcy kary</w:t>
      </w:r>
      <w:r w:rsidR="009238BB">
        <w:rPr>
          <w:rFonts w:cs="Times New Roman"/>
          <w:szCs w:val="24"/>
        </w:rPr>
        <w:t xml:space="preserve"> za</w:t>
      </w:r>
      <w:r w:rsidRPr="0079497F">
        <w:rPr>
          <w:rFonts w:cs="Times New Roman"/>
          <w:szCs w:val="24"/>
        </w:rPr>
        <w:t xml:space="preserve"> umyślne przestępstwo podobne do przestępstwa, za które był już skazany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jeżeli sprawca skazany za przestępstwo umyślne na karę pozbawienia wolności popełnia w ciągu 5 lat po odbyciu co najmniej 6 miesięcy kary</w:t>
      </w:r>
      <w:r w:rsidR="009238BB">
        <w:rPr>
          <w:rFonts w:cs="Times New Roman"/>
          <w:szCs w:val="24"/>
        </w:rPr>
        <w:t xml:space="preserve"> za </w:t>
      </w:r>
      <w:r w:rsidRPr="0079497F">
        <w:rPr>
          <w:rFonts w:cs="Times New Roman"/>
          <w:szCs w:val="24"/>
        </w:rPr>
        <w:t xml:space="preserve"> przestępstwo, za które był już skazany</w:t>
      </w:r>
      <w:r w:rsidR="009238BB">
        <w:rPr>
          <w:rFonts w:cs="Times New Roman"/>
          <w:szCs w:val="24"/>
        </w:rPr>
        <w:t>.</w:t>
      </w:r>
    </w:p>
    <w:p w:rsidR="00913ED2" w:rsidRPr="0079497F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497F">
        <w:rPr>
          <w:rFonts w:cs="Times New Roman"/>
          <w:b/>
          <w:szCs w:val="24"/>
        </w:rPr>
        <w:t>Zgodnie z Kodeksem karnym w razie przekroczenia granic stanu wyższej konieczności:</w:t>
      </w:r>
    </w:p>
    <w:p w:rsidR="00913ED2" w:rsidRPr="0079497F" w:rsidRDefault="00913ED2" w:rsidP="00913ED2">
      <w:p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497F">
        <w:rPr>
          <w:rFonts w:cs="Times New Roman"/>
          <w:b/>
          <w:szCs w:val="24"/>
        </w:rPr>
        <w:t xml:space="preserve"> </w:t>
      </w:r>
    </w:p>
    <w:p w:rsidR="00913ED2" w:rsidRPr="0079497F" w:rsidRDefault="00913ED2" w:rsidP="00913ED2">
      <w:pPr>
        <w:numPr>
          <w:ilvl w:val="1"/>
          <w:numId w:val="1"/>
        </w:numPr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sąd stosuje nadzwyczajne złagodzenie kary, a nawet może odstąpić od jej wymierzenia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sąd może zastosować nadzwyczajne złagodzenie kary, a nawet odstąpić od jej wymierzenia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sąd może zastosować nadzwyczajne złagodzenie kary, a nawet odstąpić od jej wymierzenia jedynie na wniosek pokrzywdzonego</w:t>
      </w:r>
      <w:r w:rsidR="009238BB">
        <w:rPr>
          <w:rFonts w:cs="Times New Roman"/>
          <w:szCs w:val="24"/>
        </w:rPr>
        <w:t>.</w:t>
      </w:r>
      <w:r w:rsidRPr="0079497F">
        <w:rPr>
          <w:rFonts w:cs="Times New Roman"/>
          <w:szCs w:val="24"/>
        </w:rPr>
        <w:t xml:space="preserve"> </w:t>
      </w:r>
    </w:p>
    <w:p w:rsidR="00913ED2" w:rsidRPr="0079497F" w:rsidRDefault="00913ED2" w:rsidP="00913ED2">
      <w:pPr>
        <w:ind w:left="720"/>
        <w:contextualSpacing/>
        <w:rPr>
          <w:rFonts w:cs="Times New Roman"/>
          <w:szCs w:val="24"/>
        </w:rPr>
      </w:pPr>
    </w:p>
    <w:p w:rsidR="00913ED2" w:rsidRPr="0079497F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497F">
        <w:rPr>
          <w:rFonts w:cs="Times New Roman"/>
          <w:b/>
          <w:szCs w:val="24"/>
        </w:rPr>
        <w:t>Zgodnie z Kodeksem karnym przestępstwo podobne to: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przestępstwo z zastosowaniem przemocy lub groźby jej użycia albo przestępstwo popełnione w celu osiągnięcia korzyści majątkowej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ind w:left="1494"/>
        <w:contextualSpacing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przestępstwo należące do tego samego rodzaju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przestępstwo należące do tego samego rodzaju; przestępstwo z zastosowaniem przemocy lub groźby jej użycia albo przestępstwo popełnione w celu osiągnięcia korzyści majątkowej</w:t>
      </w:r>
      <w:r w:rsidR="009238BB">
        <w:rPr>
          <w:rFonts w:cs="Times New Roman"/>
          <w:szCs w:val="24"/>
        </w:rPr>
        <w:t>.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</w:p>
    <w:p w:rsidR="00913ED2" w:rsidRDefault="00913ED2" w:rsidP="00913ED2">
      <w:pPr>
        <w:numPr>
          <w:ilvl w:val="0"/>
          <w:numId w:val="1"/>
        </w:numPr>
        <w:spacing w:after="0" w:line="360" w:lineRule="auto"/>
        <w:contextualSpacing/>
        <w:jc w:val="both"/>
        <w:outlineLvl w:val="0"/>
        <w:rPr>
          <w:rFonts w:eastAsia="Calibri" w:cs="Times New Roman"/>
          <w:b/>
          <w:bCs/>
          <w:szCs w:val="24"/>
        </w:rPr>
      </w:pPr>
      <w:r w:rsidRPr="0079497F">
        <w:rPr>
          <w:rFonts w:cs="Times New Roman"/>
          <w:b/>
          <w:szCs w:val="24"/>
        </w:rPr>
        <w:t xml:space="preserve">Zgodnie z Kodeksem karnym łączną </w:t>
      </w:r>
      <w:r w:rsidRPr="0079497F">
        <w:rPr>
          <w:rFonts w:eastAsia="Calibri" w:cs="Times New Roman"/>
          <w:b/>
          <w:bCs/>
          <w:szCs w:val="24"/>
        </w:rPr>
        <w:t>karę ograniczenia wolności można orzec maksymalnie:</w:t>
      </w:r>
    </w:p>
    <w:p w:rsidR="00913ED2" w:rsidRPr="0079497F" w:rsidRDefault="00913ED2" w:rsidP="00913ED2">
      <w:pPr>
        <w:spacing w:after="0" w:line="360" w:lineRule="auto"/>
        <w:ind w:left="720"/>
        <w:contextualSpacing/>
        <w:jc w:val="both"/>
        <w:outlineLvl w:val="0"/>
        <w:rPr>
          <w:rFonts w:eastAsia="Calibri" w:cs="Times New Roman"/>
          <w:b/>
          <w:bCs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outlineLvl w:val="0"/>
        <w:rPr>
          <w:rFonts w:eastAsia="Calibri" w:cs="Times New Roman"/>
          <w:bCs/>
          <w:szCs w:val="24"/>
        </w:rPr>
      </w:pPr>
      <w:r w:rsidRPr="0079497F">
        <w:rPr>
          <w:rFonts w:eastAsia="Calibri" w:cs="Times New Roman"/>
          <w:bCs/>
          <w:szCs w:val="24"/>
        </w:rPr>
        <w:t>do lat 2</w:t>
      </w:r>
      <w:r w:rsidR="009238BB">
        <w:rPr>
          <w:rFonts w:eastAsia="Calibri" w:cs="Times New Roman"/>
          <w:bCs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outlineLvl w:val="0"/>
        <w:rPr>
          <w:rFonts w:eastAsia="Calibri" w:cs="Times New Roman"/>
          <w:bCs/>
          <w:szCs w:val="24"/>
        </w:rPr>
      </w:pPr>
      <w:r w:rsidRPr="0079497F">
        <w:rPr>
          <w:rFonts w:eastAsia="Calibri" w:cs="Times New Roman"/>
          <w:bCs/>
          <w:szCs w:val="24"/>
        </w:rPr>
        <w:t>do wysokości sumy kar jednostkowych, nawet powyżej 2 lat</w:t>
      </w:r>
      <w:r w:rsidR="009238BB">
        <w:rPr>
          <w:rFonts w:eastAsia="Calibri" w:cs="Times New Roman"/>
          <w:bCs/>
          <w:szCs w:val="24"/>
        </w:rPr>
        <w:t>,</w:t>
      </w:r>
      <w:r w:rsidRPr="0079497F">
        <w:rPr>
          <w:rFonts w:eastAsia="Calibri" w:cs="Times New Roman"/>
          <w:bCs/>
          <w:szCs w:val="24"/>
        </w:rPr>
        <w:t xml:space="preserve">  </w:t>
      </w:r>
    </w:p>
    <w:p w:rsidR="00913ED2" w:rsidRPr="0079497F" w:rsidRDefault="00913ED2" w:rsidP="00A25EB8">
      <w:pPr>
        <w:numPr>
          <w:ilvl w:val="1"/>
          <w:numId w:val="1"/>
        </w:numPr>
        <w:spacing w:after="0" w:line="276" w:lineRule="auto"/>
        <w:ind w:hanging="306"/>
        <w:contextualSpacing/>
        <w:jc w:val="both"/>
        <w:outlineLvl w:val="0"/>
        <w:rPr>
          <w:rFonts w:eastAsia="Calibri" w:cs="Times New Roman"/>
          <w:bCs/>
          <w:szCs w:val="24"/>
        </w:rPr>
      </w:pPr>
      <w:r w:rsidRPr="0079497F">
        <w:rPr>
          <w:rFonts w:eastAsia="Calibri" w:cs="Times New Roman"/>
          <w:bCs/>
          <w:szCs w:val="24"/>
        </w:rPr>
        <w:t>do wysokości sumy kar jednostkowych zwiększonej o połowę</w:t>
      </w:r>
      <w:r w:rsidR="009238BB">
        <w:rPr>
          <w:rFonts w:eastAsia="Calibri" w:cs="Times New Roman"/>
          <w:bCs/>
          <w:szCs w:val="24"/>
        </w:rPr>
        <w:t>.</w:t>
      </w:r>
    </w:p>
    <w:p w:rsidR="00913ED2" w:rsidRPr="0079497F" w:rsidRDefault="00913ED2" w:rsidP="00913ED2">
      <w:pPr>
        <w:spacing w:after="0" w:line="276" w:lineRule="auto"/>
        <w:ind w:left="1440"/>
        <w:contextualSpacing/>
        <w:jc w:val="both"/>
        <w:outlineLvl w:val="0"/>
        <w:rPr>
          <w:rFonts w:eastAsia="Calibri" w:cs="Times New Roman"/>
          <w:bCs/>
          <w:szCs w:val="24"/>
        </w:rPr>
      </w:pPr>
    </w:p>
    <w:p w:rsidR="00913ED2" w:rsidRDefault="00913ED2" w:rsidP="00913ED2">
      <w:pPr>
        <w:spacing w:after="0" w:line="276" w:lineRule="auto"/>
        <w:ind w:left="1440"/>
        <w:contextualSpacing/>
        <w:jc w:val="both"/>
        <w:outlineLvl w:val="0"/>
        <w:rPr>
          <w:rFonts w:eastAsia="Calibri" w:cs="Times New Roman"/>
          <w:bCs/>
          <w:szCs w:val="24"/>
        </w:rPr>
      </w:pPr>
    </w:p>
    <w:p w:rsidR="00913ED2" w:rsidRDefault="00913ED2" w:rsidP="00913ED2">
      <w:pPr>
        <w:spacing w:after="0" w:line="276" w:lineRule="auto"/>
        <w:ind w:left="1440"/>
        <w:contextualSpacing/>
        <w:jc w:val="both"/>
        <w:outlineLvl w:val="0"/>
        <w:rPr>
          <w:rFonts w:eastAsia="Calibri" w:cs="Times New Roman"/>
          <w:bCs/>
          <w:szCs w:val="24"/>
        </w:rPr>
      </w:pPr>
    </w:p>
    <w:p w:rsidR="00913ED2" w:rsidRPr="0079497F" w:rsidRDefault="00913ED2" w:rsidP="00913ED2">
      <w:pPr>
        <w:spacing w:after="0" w:line="276" w:lineRule="auto"/>
        <w:ind w:left="1440"/>
        <w:contextualSpacing/>
        <w:jc w:val="both"/>
        <w:outlineLvl w:val="0"/>
        <w:rPr>
          <w:rFonts w:eastAsia="Calibri" w:cs="Times New Roman"/>
          <w:bCs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szCs w:val="24"/>
        </w:rPr>
      </w:pPr>
      <w:r w:rsidRPr="0079497F">
        <w:rPr>
          <w:rFonts w:cs="Times New Roman"/>
          <w:b/>
          <w:szCs w:val="24"/>
        </w:rPr>
        <w:lastRenderedPageBreak/>
        <w:t>Zgodnie z Kodeksem karnym: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jeżeli w czasie orzekania obowiązuje ustawa inna niż w czasie popełnienia przestępstwa, stosuje się ustawę nową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jeżeli w czasie orzekania obowiązuje ustawa inna niż w czasie popełnienia przestępstwa, stosuje się ustawę nową, jednakże należy stosować ustawę obowiązującą poprzednio, jeżeli ta jest względniejsza dla sprawcy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 xml:space="preserve"> jeżeli w czasie orzekania obowiązuje ustawa inna niż w czasie popełnienia przestępstwa, stosuje się ustawę nową, jednakże należy stosować ustawę obowiązującą poprzednio, jeże</w:t>
      </w:r>
      <w:r w:rsidR="009238BB">
        <w:rPr>
          <w:rFonts w:cs="Times New Roman"/>
          <w:szCs w:val="24"/>
        </w:rPr>
        <w:t>li sprawca działał nieumyślnie.</w:t>
      </w:r>
    </w:p>
    <w:p w:rsidR="00913ED2" w:rsidRPr="0079497F" w:rsidRDefault="00913ED2" w:rsidP="00913ED2">
      <w:pPr>
        <w:ind w:left="720"/>
        <w:contextualSpacing/>
        <w:rPr>
          <w:rFonts w:cs="Times New Roman"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40" w:lineRule="auto"/>
        <w:contextualSpacing/>
        <w:jc w:val="both"/>
        <w:rPr>
          <w:rFonts w:cs="Times New Roman"/>
          <w:b/>
          <w:szCs w:val="24"/>
        </w:rPr>
      </w:pPr>
      <w:r w:rsidRPr="0079497F">
        <w:rPr>
          <w:rFonts w:cs="Times New Roman"/>
          <w:b/>
          <w:szCs w:val="24"/>
        </w:rPr>
        <w:t>Zgodnie z Kodeksem karnym</w:t>
      </w:r>
      <w:r w:rsidRPr="0079497F">
        <w:t xml:space="preserve"> </w:t>
      </w:r>
      <w:r w:rsidRPr="0079497F">
        <w:rPr>
          <w:rFonts w:cs="Times New Roman"/>
          <w:b/>
          <w:szCs w:val="24"/>
        </w:rPr>
        <w:t>kara łączna:</w:t>
      </w:r>
    </w:p>
    <w:p w:rsidR="00913ED2" w:rsidRPr="0079497F" w:rsidRDefault="00913ED2" w:rsidP="00913ED2">
      <w:pPr>
        <w:spacing w:after="0" w:line="240" w:lineRule="auto"/>
        <w:ind w:left="720"/>
        <w:contextualSpacing/>
        <w:jc w:val="both"/>
        <w:rPr>
          <w:rFonts w:cs="Times New Roman"/>
          <w:b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ind w:left="1494"/>
        <w:contextualSpacing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orzekana jest za przestępstwa popełnione w ciągu przestępstw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40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umożliwia połączenie kary pozbawienia wolności i kary ograniczenia wolności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40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stosowana jest wyłącznie w wyroku łącznym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ind w:left="720"/>
        <w:contextualSpacing/>
        <w:rPr>
          <w:rFonts w:cs="Times New Roman"/>
          <w:szCs w:val="24"/>
        </w:rPr>
      </w:pPr>
    </w:p>
    <w:p w:rsidR="00913ED2" w:rsidRPr="0079497F" w:rsidRDefault="00913ED2" w:rsidP="00913ED2">
      <w:pPr>
        <w:spacing w:after="0" w:line="276" w:lineRule="auto"/>
        <w:contextualSpacing/>
        <w:jc w:val="both"/>
        <w:rPr>
          <w:rFonts w:eastAsia="Times New Roman" w:cs="Times New Roman"/>
          <w:szCs w:val="24"/>
          <w:lang w:eastAsia="pl-PL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Times New Roman" w:cs="Times New Roman"/>
          <w:b/>
          <w:szCs w:val="24"/>
          <w:lang w:eastAsia="pl-PL"/>
        </w:rPr>
      </w:pPr>
      <w:r w:rsidRPr="0079497F">
        <w:rPr>
          <w:rFonts w:eastAsia="Times New Roman" w:cs="Times New Roman"/>
          <w:b/>
          <w:szCs w:val="24"/>
          <w:lang w:eastAsia="pl-PL"/>
        </w:rPr>
        <w:t>Zgodnie z Kodeksem postępowania karnego: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eastAsia="Times New Roman" w:cs="Times New Roman"/>
          <w:b/>
          <w:szCs w:val="24"/>
          <w:lang w:eastAsia="pl-PL"/>
        </w:rPr>
      </w:pPr>
    </w:p>
    <w:p w:rsidR="00913ED2" w:rsidRPr="0079497F" w:rsidRDefault="00913ED2" w:rsidP="00913ED2">
      <w:pPr>
        <w:numPr>
          <w:ilvl w:val="1"/>
          <w:numId w:val="1"/>
        </w:numPr>
        <w:spacing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w razie złożenia wniosku o ściganie niektórych tylko sprawców obowiązek ścigania obejmuje również inne osoby, których czyny pozostają w ścisłym związku z czynem osoby wskazanej we wniosku, o czym należy uprzedzić składającego wniosek, przepisu tego nie stosuje się do najbliższych osoby składającej wniosek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w razie złożenia wniosku o ściganie niektórych tylko sprawców obowiązek ścigania obejmuje również tylko podżegaczy, o czym należy uprzedzić składającego wniosek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w razie złożenia wniosku o ściganie niektórych tylko sprawców obowiązek ścigania nie obejmuje innych osób, których czyny pozostają w ścisłym związku z czynem osoby wskazanej we wniosku, o czym należy uprzedzić składającego wniosek</w:t>
      </w:r>
      <w:r w:rsidR="009238BB">
        <w:rPr>
          <w:rFonts w:cs="Times New Roman"/>
          <w:szCs w:val="24"/>
        </w:rPr>
        <w:t>.</w:t>
      </w:r>
    </w:p>
    <w:p w:rsidR="00913ED2" w:rsidRPr="0079497F" w:rsidRDefault="00913ED2" w:rsidP="00913ED2">
      <w:pPr>
        <w:spacing w:after="0" w:line="360" w:lineRule="auto"/>
        <w:ind w:left="1146"/>
        <w:contextualSpacing/>
        <w:jc w:val="both"/>
        <w:rPr>
          <w:rFonts w:eastAsia="Times New Roman" w:cs="Times New Roman"/>
          <w:szCs w:val="24"/>
          <w:lang w:eastAsia="pl-PL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497F">
        <w:rPr>
          <w:rFonts w:cs="Times New Roman"/>
          <w:b/>
          <w:bCs/>
          <w:szCs w:val="24"/>
        </w:rPr>
        <w:t xml:space="preserve">Zgodnie z Kodeksem postępowania karnego w prawa oskarżyciela posiłkowego  może wstąpić 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913ED2" w:rsidRPr="0079497F" w:rsidRDefault="00913ED2" w:rsidP="00913ED2">
      <w:pPr>
        <w:autoSpaceDE w:val="0"/>
        <w:autoSpaceDN w:val="0"/>
        <w:adjustRightInd w:val="0"/>
        <w:spacing w:line="240" w:lineRule="auto"/>
        <w:ind w:left="708" w:firstLine="12"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 xml:space="preserve">      a.</w:t>
      </w:r>
      <w:r w:rsidRPr="0079497F">
        <w:rPr>
          <w:rFonts w:cs="Times New Roman"/>
          <w:b/>
          <w:szCs w:val="24"/>
        </w:rPr>
        <w:t xml:space="preserve">  </w:t>
      </w:r>
      <w:r w:rsidRPr="0079497F">
        <w:rPr>
          <w:rFonts w:cs="Times New Roman"/>
          <w:szCs w:val="24"/>
        </w:rPr>
        <w:t>pokrzywdzony</w:t>
      </w:r>
      <w:r w:rsidR="009238BB">
        <w:rPr>
          <w:rFonts w:cs="Times New Roman"/>
          <w:szCs w:val="24"/>
        </w:rPr>
        <w:t>,</w:t>
      </w:r>
      <w:r w:rsidRPr="0079497F">
        <w:rPr>
          <w:rFonts w:cs="Times New Roman"/>
          <w:szCs w:val="24"/>
        </w:rPr>
        <w:t xml:space="preserve"> </w:t>
      </w:r>
    </w:p>
    <w:p w:rsidR="00913ED2" w:rsidRPr="0079497F" w:rsidRDefault="00913ED2" w:rsidP="00913ED2">
      <w:pPr>
        <w:autoSpaceDE w:val="0"/>
        <w:autoSpaceDN w:val="0"/>
        <w:adjustRightInd w:val="0"/>
        <w:spacing w:line="240" w:lineRule="auto"/>
        <w:ind w:left="708" w:firstLine="12"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 xml:space="preserve">      b.  zawiadamiający o popełnieniu przestępstwa, ale nie będący pokrzywdzonym</w:t>
      </w:r>
      <w:r w:rsidR="009238BB">
        <w:rPr>
          <w:rFonts w:cs="Times New Roman"/>
          <w:szCs w:val="24"/>
        </w:rPr>
        <w:t>,</w:t>
      </w:r>
      <w:r w:rsidRPr="0079497F">
        <w:rPr>
          <w:rFonts w:cs="Times New Roman"/>
          <w:szCs w:val="24"/>
        </w:rPr>
        <w:t xml:space="preserve">  </w:t>
      </w:r>
    </w:p>
    <w:p w:rsidR="00913ED2" w:rsidRPr="0079497F" w:rsidRDefault="00913ED2" w:rsidP="00913ED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 xml:space="preserve">      c.   świadek przestępstwa</w:t>
      </w:r>
      <w:r w:rsidR="009238BB">
        <w:rPr>
          <w:rFonts w:cs="Times New Roman"/>
          <w:szCs w:val="24"/>
        </w:rPr>
        <w:t>.</w:t>
      </w:r>
    </w:p>
    <w:p w:rsidR="00913ED2" w:rsidRDefault="00913ED2" w:rsidP="00913ED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4"/>
        </w:rPr>
      </w:pPr>
    </w:p>
    <w:p w:rsidR="00913ED2" w:rsidRDefault="00913ED2" w:rsidP="00913ED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4"/>
        </w:rPr>
      </w:pPr>
    </w:p>
    <w:p w:rsidR="00913ED2" w:rsidRPr="0079497F" w:rsidRDefault="00913ED2" w:rsidP="00913ED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cs="Times New Roman"/>
          <w:b/>
          <w:bCs/>
          <w:szCs w:val="24"/>
        </w:rPr>
      </w:pPr>
      <w:r w:rsidRPr="0079497F">
        <w:rPr>
          <w:rFonts w:cs="Times New Roman"/>
          <w:b/>
          <w:bCs/>
          <w:szCs w:val="24"/>
        </w:rPr>
        <w:lastRenderedPageBreak/>
        <w:t>Zgodnie z Kodeksem postępowania karnego sędzia jest z mocy prawa wyłączony od udziału w sprawie, jeżeli: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orzekał w kwestii incydentalnej na etapie postępowania przygotowawczego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brał udział w wydaniu orzeczenia, które zostało uchylone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pełni służbę w tym samym wydziale, w którym pełni służbę sędzia, który wydawał wyrok nakazowy, od którego złożono sprzeciw</w:t>
      </w:r>
      <w:r w:rsidR="009238BB">
        <w:rPr>
          <w:rFonts w:cs="Times New Roman"/>
          <w:szCs w:val="24"/>
        </w:rPr>
        <w:t>.</w:t>
      </w:r>
      <w:r w:rsidRPr="0079497F">
        <w:rPr>
          <w:rFonts w:cs="Times New Roman"/>
          <w:szCs w:val="24"/>
        </w:rPr>
        <w:t xml:space="preserve"> </w:t>
      </w:r>
    </w:p>
    <w:p w:rsidR="00913ED2" w:rsidRPr="0079497F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b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497F">
        <w:rPr>
          <w:rFonts w:cs="Times New Roman"/>
          <w:b/>
          <w:bCs/>
          <w:szCs w:val="24"/>
        </w:rPr>
        <w:t>Zgodnie z Kodeksem postępowania karnego powództwo cywilne w postępowaniu karnym jest:</w:t>
      </w:r>
    </w:p>
    <w:p w:rsidR="00913ED2" w:rsidRPr="0079497F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b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dopuszczalne, jeżeli zgodę wyrazi oskarżyciel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niedopuszczalne</w:t>
      </w:r>
      <w:r w:rsidR="009238BB">
        <w:rPr>
          <w:rFonts w:cs="Times New Roman"/>
          <w:szCs w:val="24"/>
        </w:rPr>
        <w:t>,</w:t>
      </w:r>
      <w:r w:rsidRPr="0079497F">
        <w:rPr>
          <w:rFonts w:cs="Times New Roman"/>
          <w:szCs w:val="24"/>
        </w:rPr>
        <w:t xml:space="preserve"> 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dopuszczalne</w:t>
      </w:r>
      <w:r w:rsidR="009238BB">
        <w:rPr>
          <w:rFonts w:cs="Times New Roman"/>
          <w:szCs w:val="24"/>
        </w:rPr>
        <w:t>.</w:t>
      </w:r>
    </w:p>
    <w:p w:rsidR="00913ED2" w:rsidRPr="0079497F" w:rsidRDefault="00913ED2" w:rsidP="00913ED2">
      <w:pPr>
        <w:ind w:left="720"/>
        <w:contextualSpacing/>
        <w:rPr>
          <w:rFonts w:cs="Times New Roman"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497F">
        <w:rPr>
          <w:rFonts w:cs="Times New Roman"/>
          <w:b/>
          <w:bCs/>
          <w:szCs w:val="24"/>
        </w:rPr>
        <w:t xml:space="preserve">Zgodnie z Kodeksem postępowania karnego oczywiste omyłki pisarskie i rachunkowe oraz w obliczeniu terminów w orzeczeniu lub zarządzeniu albo w ich uzasadnieniu można sprostować: 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do zakończenia postępowania przed sądem pierwszej instancji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do zakończenia postępowania przed sądem drugiej instancji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w każdym czasie</w:t>
      </w:r>
      <w:r w:rsidR="009238BB">
        <w:rPr>
          <w:rFonts w:cs="Times New Roman"/>
          <w:szCs w:val="24"/>
        </w:rPr>
        <w:t>.</w:t>
      </w:r>
    </w:p>
    <w:p w:rsidR="00913ED2" w:rsidRPr="0079497F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 xml:space="preserve"> </w:t>
      </w: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497F">
        <w:rPr>
          <w:rFonts w:cs="Times New Roman"/>
          <w:b/>
          <w:bCs/>
          <w:szCs w:val="24"/>
        </w:rPr>
        <w:t xml:space="preserve">Zgodnie z Kodeksem postępowania karnego znaczenie czynności procesowej ocenia się według 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treści złożonego oświadczenia pisemnego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tytułu oświadczenia pisemnego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pisemnego oświadczenia uzupełniającego po wezwaniu do sprecyzowania pierwotnego oświadczenia pisemnego, jeśli pomiędzy tytułem pierwotnego oświadczenia pisemnego a jego treścią istniej sprzeczność</w:t>
      </w:r>
      <w:r w:rsidR="009238BB">
        <w:rPr>
          <w:rFonts w:cs="Times New Roman"/>
          <w:szCs w:val="24"/>
        </w:rPr>
        <w:t>.</w:t>
      </w:r>
      <w:r w:rsidRPr="0079497F">
        <w:rPr>
          <w:rFonts w:cs="Times New Roman"/>
          <w:szCs w:val="24"/>
        </w:rPr>
        <w:t xml:space="preserve">  </w:t>
      </w:r>
    </w:p>
    <w:p w:rsidR="00913ED2" w:rsidRPr="0079497F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</w:p>
    <w:p w:rsidR="00913ED2" w:rsidRPr="0079497F" w:rsidRDefault="00913ED2" w:rsidP="00913ED2">
      <w:pPr>
        <w:spacing w:after="0" w:line="276" w:lineRule="auto"/>
        <w:jc w:val="both"/>
        <w:rPr>
          <w:rFonts w:cs="Times New Roman"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497F">
        <w:rPr>
          <w:rFonts w:cs="Times New Roman"/>
          <w:b/>
          <w:bCs/>
          <w:szCs w:val="24"/>
        </w:rPr>
        <w:t>Zgodnie z Kodeksem postępowania karnego odroczenie wydania wyroku  może nastąpić na okres: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 xml:space="preserve"> 7 dni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21 dni</w:t>
      </w:r>
      <w:r w:rsidR="009238BB">
        <w:rPr>
          <w:rFonts w:cs="Times New Roman"/>
          <w:szCs w:val="24"/>
        </w:rPr>
        <w:t>,</w:t>
      </w:r>
    </w:p>
    <w:p w:rsidR="00913ED2" w:rsidRPr="0079497F" w:rsidRDefault="00913ED2" w:rsidP="00913ED2">
      <w:pPr>
        <w:numPr>
          <w:ilvl w:val="1"/>
          <w:numId w:val="1"/>
        </w:num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14 dni</w:t>
      </w:r>
      <w:r w:rsidR="009238BB">
        <w:rPr>
          <w:rFonts w:cs="Times New Roman"/>
          <w:szCs w:val="24"/>
        </w:rPr>
        <w:t>.</w:t>
      </w:r>
      <w:r w:rsidRPr="0079497F">
        <w:rPr>
          <w:rFonts w:cs="Times New Roman"/>
          <w:szCs w:val="24"/>
        </w:rPr>
        <w:t xml:space="preserve"> </w:t>
      </w:r>
    </w:p>
    <w:p w:rsidR="00913ED2" w:rsidRDefault="00913ED2" w:rsidP="00913ED2">
      <w:pPr>
        <w:pStyle w:val="Akapitzlist"/>
        <w:rPr>
          <w:rFonts w:cs="Times New Roman"/>
          <w:b/>
          <w:szCs w:val="24"/>
        </w:rPr>
      </w:pPr>
    </w:p>
    <w:p w:rsidR="00913ED2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b/>
          <w:szCs w:val="24"/>
        </w:rPr>
      </w:pPr>
    </w:p>
    <w:p w:rsidR="00913ED2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b/>
          <w:szCs w:val="24"/>
        </w:rPr>
      </w:pPr>
    </w:p>
    <w:p w:rsidR="00913ED2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b/>
          <w:szCs w:val="24"/>
        </w:rPr>
      </w:pPr>
    </w:p>
    <w:p w:rsidR="00913ED2" w:rsidRPr="0079497F" w:rsidRDefault="00913ED2" w:rsidP="00913ED2">
      <w:pPr>
        <w:spacing w:after="0" w:line="276" w:lineRule="auto"/>
        <w:ind w:left="1494"/>
        <w:contextualSpacing/>
        <w:jc w:val="both"/>
        <w:rPr>
          <w:rFonts w:cs="Times New Roman"/>
          <w:b/>
          <w:szCs w:val="24"/>
        </w:rPr>
      </w:pPr>
    </w:p>
    <w:p w:rsidR="00913ED2" w:rsidRPr="0079497F" w:rsidRDefault="00913ED2" w:rsidP="00913ED2">
      <w:pPr>
        <w:spacing w:after="0" w:line="276" w:lineRule="auto"/>
        <w:jc w:val="both"/>
        <w:rPr>
          <w:rFonts w:cs="Times New Roman"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497F">
        <w:rPr>
          <w:rFonts w:cs="Times New Roman"/>
          <w:b/>
          <w:bCs/>
          <w:szCs w:val="24"/>
        </w:rPr>
        <w:lastRenderedPageBreak/>
        <w:t>Zgodnie z Kodeksem postępowania karnego sąd może wznowić przewód sądowy: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913ED2" w:rsidRPr="0079497F" w:rsidRDefault="00913ED2" w:rsidP="00913ED2">
      <w:pPr>
        <w:numPr>
          <w:ilvl w:val="1"/>
          <w:numId w:val="1"/>
        </w:numPr>
        <w:ind w:left="1494"/>
        <w:contextualSpacing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aż do  ogłoszenia wyroku</w:t>
      </w:r>
      <w:r w:rsidR="009238BB">
        <w:rPr>
          <w:rFonts w:cs="Times New Roman"/>
          <w:szCs w:val="24"/>
        </w:rPr>
        <w:t>,</w:t>
      </w:r>
      <w:r w:rsidRPr="0079497F">
        <w:rPr>
          <w:rFonts w:cs="Times New Roman"/>
          <w:szCs w:val="24"/>
        </w:rPr>
        <w:t xml:space="preserve"> </w:t>
      </w:r>
    </w:p>
    <w:p w:rsidR="00913ED2" w:rsidRPr="0079497F" w:rsidRDefault="00913ED2" w:rsidP="00913ED2">
      <w:pPr>
        <w:numPr>
          <w:ilvl w:val="1"/>
          <w:numId w:val="1"/>
        </w:numPr>
        <w:ind w:left="1494"/>
        <w:contextualSpacing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aż do  zakończenia  rozprawy</w:t>
      </w:r>
      <w:r w:rsidR="009238BB">
        <w:rPr>
          <w:rFonts w:cs="Times New Roman"/>
          <w:szCs w:val="24"/>
        </w:rPr>
        <w:t>,</w:t>
      </w:r>
    </w:p>
    <w:p w:rsidR="00913ED2" w:rsidRDefault="00913ED2" w:rsidP="00913ED2">
      <w:pPr>
        <w:numPr>
          <w:ilvl w:val="1"/>
          <w:numId w:val="1"/>
        </w:numPr>
        <w:ind w:left="1494"/>
        <w:contextualSpacing/>
        <w:rPr>
          <w:rFonts w:cs="Times New Roman"/>
          <w:szCs w:val="24"/>
        </w:rPr>
      </w:pPr>
      <w:r w:rsidRPr="0079497F">
        <w:rPr>
          <w:rFonts w:cs="Times New Roman"/>
          <w:szCs w:val="24"/>
        </w:rPr>
        <w:t>także po ogłoszeniu wyroku i zakończeniu rozprawy</w:t>
      </w:r>
      <w:r w:rsidR="009238BB">
        <w:rPr>
          <w:rFonts w:cs="Times New Roman"/>
          <w:szCs w:val="24"/>
        </w:rPr>
        <w:t>.</w:t>
      </w:r>
    </w:p>
    <w:p w:rsidR="00913ED2" w:rsidRDefault="00913ED2" w:rsidP="00913ED2">
      <w:pPr>
        <w:pStyle w:val="Akapitzlist"/>
        <w:rPr>
          <w:rFonts w:cs="Times New Roman"/>
          <w:szCs w:val="24"/>
        </w:rPr>
      </w:pPr>
    </w:p>
    <w:p w:rsidR="00913ED2" w:rsidRPr="0079497F" w:rsidRDefault="00913ED2" w:rsidP="00913ED2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b/>
          <w:bCs/>
          <w:szCs w:val="24"/>
        </w:rPr>
      </w:pPr>
      <w:r w:rsidRPr="0079497F">
        <w:rPr>
          <w:rFonts w:cs="Times New Roman"/>
          <w:b/>
          <w:bCs/>
          <w:szCs w:val="24"/>
        </w:rPr>
        <w:t>Zgodnie z Kodeksem postępowania karnego</w:t>
      </w:r>
      <w:r>
        <w:rPr>
          <w:rFonts w:cs="Times New Roman"/>
          <w:b/>
          <w:bCs/>
          <w:szCs w:val="24"/>
        </w:rPr>
        <w:t xml:space="preserve"> termin do wniesienia apelacji biegnie</w:t>
      </w:r>
      <w:r w:rsidRPr="0079497F">
        <w:rPr>
          <w:rFonts w:cs="Times New Roman"/>
          <w:b/>
          <w:bCs/>
          <w:szCs w:val="24"/>
        </w:rPr>
        <w:t>:</w:t>
      </w:r>
    </w:p>
    <w:p w:rsidR="00913ED2" w:rsidRPr="0079497F" w:rsidRDefault="00913ED2" w:rsidP="00913ED2">
      <w:pPr>
        <w:spacing w:after="0" w:line="276" w:lineRule="auto"/>
        <w:ind w:left="720"/>
        <w:contextualSpacing/>
        <w:jc w:val="both"/>
        <w:rPr>
          <w:rFonts w:cs="Times New Roman"/>
          <w:b/>
          <w:bCs/>
          <w:szCs w:val="24"/>
        </w:rPr>
      </w:pPr>
    </w:p>
    <w:p w:rsidR="00913ED2" w:rsidRDefault="00913ED2" w:rsidP="00913ED2">
      <w:pPr>
        <w:pStyle w:val="Akapitzlist"/>
        <w:numPr>
          <w:ilvl w:val="1"/>
          <w:numId w:val="1"/>
        </w:numPr>
        <w:ind w:left="1494"/>
        <w:jc w:val="both"/>
        <w:rPr>
          <w:rFonts w:cs="Times New Roman"/>
          <w:szCs w:val="24"/>
        </w:rPr>
      </w:pPr>
      <w:r w:rsidRPr="00343489">
        <w:rPr>
          <w:rFonts w:cs="Times New Roman"/>
          <w:szCs w:val="24"/>
        </w:rPr>
        <w:t>jedynie dla oskarżyciela</w:t>
      </w:r>
      <w:r>
        <w:rPr>
          <w:rFonts w:cs="Times New Roman"/>
          <w:szCs w:val="24"/>
        </w:rPr>
        <w:t xml:space="preserve"> </w:t>
      </w:r>
      <w:r w:rsidRPr="00343489">
        <w:rPr>
          <w:rFonts w:cs="Times New Roman"/>
          <w:szCs w:val="24"/>
        </w:rPr>
        <w:t>od daty dorę</w:t>
      </w:r>
      <w:r>
        <w:rPr>
          <w:rFonts w:cs="Times New Roman"/>
          <w:szCs w:val="24"/>
        </w:rPr>
        <w:t xml:space="preserve">czenia </w:t>
      </w:r>
      <w:r w:rsidRPr="00343489">
        <w:rPr>
          <w:rFonts w:cs="Times New Roman"/>
          <w:szCs w:val="24"/>
        </w:rPr>
        <w:t>mu wyroku z uzasadnieniem</w:t>
      </w:r>
      <w:r w:rsidR="009238BB">
        <w:rPr>
          <w:rFonts w:cs="Times New Roman"/>
          <w:szCs w:val="24"/>
        </w:rPr>
        <w:t>,</w:t>
      </w:r>
      <w:r w:rsidRPr="00343489">
        <w:rPr>
          <w:rFonts w:cs="Times New Roman"/>
          <w:szCs w:val="24"/>
        </w:rPr>
        <w:t xml:space="preserve"> </w:t>
      </w:r>
    </w:p>
    <w:p w:rsidR="00913ED2" w:rsidRDefault="00913ED2" w:rsidP="00913ED2">
      <w:pPr>
        <w:pStyle w:val="Akapitzlist"/>
        <w:numPr>
          <w:ilvl w:val="1"/>
          <w:numId w:val="1"/>
        </w:numPr>
        <w:ind w:left="1494"/>
        <w:jc w:val="both"/>
        <w:rPr>
          <w:rFonts w:cs="Times New Roman"/>
          <w:szCs w:val="24"/>
        </w:rPr>
      </w:pPr>
      <w:r w:rsidRPr="00343489">
        <w:rPr>
          <w:rFonts w:cs="Times New Roman"/>
          <w:szCs w:val="24"/>
        </w:rPr>
        <w:t>dla każdego uprawnionego od ogłoszenia wyroku</w:t>
      </w:r>
      <w:r w:rsidR="009238BB">
        <w:rPr>
          <w:rFonts w:cs="Times New Roman"/>
          <w:szCs w:val="24"/>
        </w:rPr>
        <w:t>,</w:t>
      </w:r>
    </w:p>
    <w:p w:rsidR="00913ED2" w:rsidRPr="00343489" w:rsidRDefault="00913ED2" w:rsidP="00913ED2">
      <w:pPr>
        <w:pStyle w:val="Akapitzlist"/>
        <w:numPr>
          <w:ilvl w:val="1"/>
          <w:numId w:val="1"/>
        </w:numPr>
        <w:ind w:left="1494"/>
        <w:jc w:val="both"/>
        <w:rPr>
          <w:rFonts w:cs="Times New Roman"/>
          <w:szCs w:val="24"/>
        </w:rPr>
      </w:pPr>
      <w:r w:rsidRPr="00343489">
        <w:rPr>
          <w:rFonts w:cs="Times New Roman"/>
          <w:szCs w:val="24"/>
        </w:rPr>
        <w:t xml:space="preserve">dla każdego uprawnionego od </w:t>
      </w:r>
      <w:r>
        <w:rPr>
          <w:rFonts w:cs="Times New Roman"/>
          <w:szCs w:val="24"/>
        </w:rPr>
        <w:t xml:space="preserve">daty doręczenia mu wyroku </w:t>
      </w:r>
      <w:r w:rsidR="009238BB">
        <w:rPr>
          <w:rFonts w:cs="Times New Roman"/>
          <w:szCs w:val="24"/>
        </w:rPr>
        <w:t>z</w:t>
      </w:r>
      <w:r>
        <w:rPr>
          <w:rFonts w:cs="Times New Roman"/>
          <w:szCs w:val="24"/>
        </w:rPr>
        <w:t xml:space="preserve"> uzasadnieniem</w:t>
      </w:r>
      <w:r w:rsidR="009238BB">
        <w:rPr>
          <w:rFonts w:cs="Times New Roman"/>
          <w:szCs w:val="24"/>
        </w:rPr>
        <w:t>.</w:t>
      </w:r>
      <w:bookmarkStart w:id="0" w:name="_GoBack"/>
      <w:bookmarkEnd w:id="0"/>
      <w:r>
        <w:rPr>
          <w:rFonts w:cs="Times New Roman"/>
          <w:szCs w:val="24"/>
        </w:rPr>
        <w:t xml:space="preserve"> </w:t>
      </w:r>
    </w:p>
    <w:p w:rsidR="00913ED2" w:rsidRDefault="00913ED2" w:rsidP="00913ED2">
      <w:pPr>
        <w:spacing w:after="0" w:line="276" w:lineRule="auto"/>
        <w:jc w:val="both"/>
        <w:rPr>
          <w:rFonts w:cs="Times New Roman"/>
          <w:szCs w:val="24"/>
        </w:rPr>
      </w:pPr>
    </w:p>
    <w:p w:rsidR="00913ED2" w:rsidRDefault="00913ED2" w:rsidP="00913ED2">
      <w:pPr>
        <w:spacing w:after="0" w:line="276" w:lineRule="auto"/>
        <w:jc w:val="both"/>
        <w:rPr>
          <w:rFonts w:cs="Times New Roman"/>
          <w:szCs w:val="24"/>
        </w:rPr>
      </w:pPr>
    </w:p>
    <w:p w:rsidR="00913ED2" w:rsidRPr="0079497F" w:rsidRDefault="00913ED2" w:rsidP="00913ED2">
      <w:pPr>
        <w:spacing w:after="0" w:line="276" w:lineRule="auto"/>
        <w:jc w:val="both"/>
        <w:rPr>
          <w:rFonts w:cs="Times New Roman"/>
          <w:szCs w:val="24"/>
        </w:rPr>
      </w:pPr>
    </w:p>
    <w:p w:rsidR="00913ED2" w:rsidRDefault="00913ED2" w:rsidP="00913ED2">
      <w:pPr>
        <w:spacing w:after="0" w:line="240" w:lineRule="auto"/>
        <w:jc w:val="both"/>
        <w:rPr>
          <w:rFonts w:cs="Times New Roman"/>
          <w:szCs w:val="24"/>
        </w:rPr>
      </w:pPr>
    </w:p>
    <w:sectPr w:rsidR="00913ED2" w:rsidSect="00913ED2">
      <w:footerReference w:type="default" r:id="rId7"/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949" w:rsidRDefault="00B81949">
      <w:pPr>
        <w:spacing w:after="0" w:line="240" w:lineRule="auto"/>
      </w:pPr>
      <w:r>
        <w:separator/>
      </w:r>
    </w:p>
  </w:endnote>
  <w:endnote w:type="continuationSeparator" w:id="0">
    <w:p w:rsidR="00B81949" w:rsidRDefault="00B81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2815673"/>
      <w:docPartObj>
        <w:docPartGallery w:val="Page Numbers (Bottom of Page)"/>
        <w:docPartUnique/>
      </w:docPartObj>
    </w:sdtPr>
    <w:sdtEndPr/>
    <w:sdtContent>
      <w:p w:rsidR="0056798F" w:rsidRDefault="00411D9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8BB">
          <w:rPr>
            <w:noProof/>
          </w:rPr>
          <w:t>4</w:t>
        </w:r>
        <w:r>
          <w:fldChar w:fldCharType="end"/>
        </w:r>
      </w:p>
    </w:sdtContent>
  </w:sdt>
  <w:p w:rsidR="0056798F" w:rsidRDefault="00B819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949" w:rsidRDefault="00B81949">
      <w:pPr>
        <w:spacing w:after="0" w:line="240" w:lineRule="auto"/>
      </w:pPr>
      <w:r>
        <w:separator/>
      </w:r>
    </w:p>
  </w:footnote>
  <w:footnote w:type="continuationSeparator" w:id="0">
    <w:p w:rsidR="00B81949" w:rsidRDefault="00B819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B7B63"/>
    <w:multiLevelType w:val="hybridMultilevel"/>
    <w:tmpl w:val="93D0FC56"/>
    <w:lvl w:ilvl="0" w:tplc="15D02734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04B6532"/>
    <w:multiLevelType w:val="hybridMultilevel"/>
    <w:tmpl w:val="30D6E380"/>
    <w:lvl w:ilvl="0" w:tplc="BA2E2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5D0273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E0F64"/>
    <w:multiLevelType w:val="hybridMultilevel"/>
    <w:tmpl w:val="8B9EA09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D0"/>
    <w:rsid w:val="00203084"/>
    <w:rsid w:val="002A06A3"/>
    <w:rsid w:val="003B5E30"/>
    <w:rsid w:val="00407214"/>
    <w:rsid w:val="00411D94"/>
    <w:rsid w:val="00440987"/>
    <w:rsid w:val="0052198F"/>
    <w:rsid w:val="00585C1D"/>
    <w:rsid w:val="007956D0"/>
    <w:rsid w:val="007E4CA8"/>
    <w:rsid w:val="00913ED2"/>
    <w:rsid w:val="009238BB"/>
    <w:rsid w:val="009A0B06"/>
    <w:rsid w:val="00A25EB8"/>
    <w:rsid w:val="00A8375F"/>
    <w:rsid w:val="00B34070"/>
    <w:rsid w:val="00B81949"/>
    <w:rsid w:val="00B92489"/>
    <w:rsid w:val="00BF019E"/>
    <w:rsid w:val="00DC333E"/>
    <w:rsid w:val="00F7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32E2B"/>
  <w15:chartTrackingRefBased/>
  <w15:docId w15:val="{91185FCB-1000-4BB0-9B5A-4B744CC5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3">
    <w:name w:val="Plain Table 3"/>
    <w:basedOn w:val="Standardowy"/>
    <w:uiPriority w:val="43"/>
    <w:rsid w:val="007956D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Stopka">
    <w:name w:val="footer"/>
    <w:basedOn w:val="Normalny"/>
    <w:link w:val="StopkaZnak"/>
    <w:uiPriority w:val="99"/>
    <w:unhideWhenUsed/>
    <w:rsid w:val="007956D0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7956D0"/>
    <w:rPr>
      <w:rFonts w:asciiTheme="minorHAnsi" w:hAnsiTheme="minorHAnsi"/>
      <w:sz w:val="22"/>
    </w:rPr>
  </w:style>
  <w:style w:type="paragraph" w:styleId="Akapitzlist">
    <w:name w:val="List Paragraph"/>
    <w:basedOn w:val="Normalny"/>
    <w:uiPriority w:val="34"/>
    <w:qFormat/>
    <w:rsid w:val="00A8375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4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1044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3</cp:revision>
  <cp:lastPrinted>2024-05-21T08:50:00Z</cp:lastPrinted>
  <dcterms:created xsi:type="dcterms:W3CDTF">2024-05-21T07:20:00Z</dcterms:created>
  <dcterms:modified xsi:type="dcterms:W3CDTF">2024-05-21T08:52:00Z</dcterms:modified>
</cp:coreProperties>
</file>