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center"/>
        <w:rPr>
          <w:b/>
          <w:sz w:val="22"/>
          <w:szCs w:val="22"/>
        </w:rPr>
      </w:pPr>
      <w:r w:rsidRPr="005A66A7">
        <w:rPr>
          <w:b/>
          <w:sz w:val="22"/>
          <w:szCs w:val="22"/>
        </w:rPr>
        <w:t>PRACA  PISEMNA  Z  ZAKRESU  PRAWA  CYWILNEGO</w:t>
      </w:r>
    </w:p>
    <w:p w:rsidR="00453525" w:rsidRDefault="00453525"/>
    <w:p w:rsidR="001A18B8" w:rsidRPr="001A18B8" w:rsidRDefault="001A18B8" w:rsidP="00130C7E">
      <w:pPr>
        <w:widowControl/>
        <w:suppressAutoHyphens w:val="0"/>
        <w:spacing w:after="160" w:line="276" w:lineRule="auto"/>
        <w:jc w:val="both"/>
        <w:rPr>
          <w:rFonts w:eastAsiaTheme="minorHAnsi"/>
          <w:kern w:val="0"/>
          <w:szCs w:val="22"/>
        </w:rPr>
      </w:pPr>
      <w:bookmarkStart w:id="0" w:name="_GoBack"/>
      <w:r w:rsidRPr="001A18B8">
        <w:rPr>
          <w:rFonts w:eastAsiaTheme="minorHAnsi"/>
          <w:kern w:val="0"/>
          <w:szCs w:val="22"/>
        </w:rPr>
        <w:t xml:space="preserve">Konrad W., który nie jest przedsiębiorcą, złożył 12 stycznia 2025 r. pozew w elektronicznym postępowaniu upominawczym przeciwko Marcinowi S., który również nie prowadzi działalności gospodarczej, o zapłatę kwoty 170 tys. złotych z ustawowymi odsetkami za opóźnienie od dnia wytoczenia powództwa do dnia zapłaty. W uzasadnieniu pozwu Konrad W. wskazał, że 21 grudnia 2020 r. zawarł z Marcinem S. umowę pożyczki, na podstawie której przekazał mu dochodzoną w sprawie kwotę 170 tys. zł, którą zgodnie z umową Marcin S. miał zwrócić do dnia 31 grudnia 2021 r. W związku z tym, że powyższa kwota nie została zwrócona, Konrad W. zdecydował się dochodzić jej pozwem. W uzasadnieniu pozwu Konrad W. zaznaczył, że roszczenie nie jest przedawnione, skoro termin sześciu lat, liczony od 31 grudnia 2021 r. jeszcze nie upłynął (jako datę wymagalności w pozwie Konrad W. wskazał jednak 12 stycznia 2025 r.). </w:t>
      </w:r>
    </w:p>
    <w:p w:rsidR="001A18B8" w:rsidRPr="001A18B8" w:rsidRDefault="001A18B8" w:rsidP="00130C7E">
      <w:pPr>
        <w:widowControl/>
        <w:suppressAutoHyphens w:val="0"/>
        <w:spacing w:after="160" w:line="276" w:lineRule="auto"/>
        <w:jc w:val="both"/>
        <w:rPr>
          <w:rFonts w:eastAsiaTheme="minorHAnsi"/>
          <w:kern w:val="0"/>
          <w:szCs w:val="22"/>
        </w:rPr>
      </w:pPr>
      <w:r w:rsidRPr="001A18B8">
        <w:rPr>
          <w:rFonts w:eastAsiaTheme="minorHAnsi"/>
          <w:kern w:val="0"/>
          <w:szCs w:val="22"/>
        </w:rPr>
        <w:t>W pozwie powód podał adres zamieszkania pozwanego (Lublin). Referendarz sądowy ustalił jednak, że adres pozwanego ujawniony w rejestrze PESEL jest inny i pozwany jest zameldowany w Gdańsku. Referendarz sądowy w dniu 3 lutego 2025 r. wydał postanowienie o przekazaniu sprawy według właściwości miejscowej do Sądu Rejonowego Gdańsk-Północ w Gdańsku.</w:t>
      </w:r>
    </w:p>
    <w:p w:rsidR="001A18B8" w:rsidRPr="001A18B8" w:rsidRDefault="001A18B8" w:rsidP="00130C7E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eastAsiaTheme="minorHAnsi"/>
          <w:bCs/>
          <w:kern w:val="0"/>
          <w:szCs w:val="22"/>
        </w:rPr>
      </w:pPr>
      <w:r w:rsidRPr="001A18B8">
        <w:rPr>
          <w:rFonts w:eastAsiaTheme="minorHAnsi"/>
          <w:b/>
          <w:bCs/>
          <w:kern w:val="0"/>
          <w:szCs w:val="22"/>
        </w:rPr>
        <w:t xml:space="preserve">Czy postanowienie z 3 lutego 2025 r. było prawidłowe? Czy SR Lublin-Zachód w Lublinie był sądem właściwym rzeczowo? </w:t>
      </w:r>
    </w:p>
    <w:p w:rsidR="001A18B8" w:rsidRPr="001A18B8" w:rsidRDefault="001A18B8" w:rsidP="00130C7E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eastAsiaTheme="minorHAnsi"/>
          <w:kern w:val="0"/>
          <w:szCs w:val="22"/>
        </w:rPr>
      </w:pPr>
      <w:r w:rsidRPr="001A18B8">
        <w:rPr>
          <w:rFonts w:eastAsiaTheme="minorHAnsi"/>
          <w:b/>
          <w:kern w:val="0"/>
          <w:szCs w:val="22"/>
        </w:rPr>
        <w:t>Jaki środek zaskarżenia od postanowienia z 3 lutego 2025 r. może wnieść powód i w jakim terminie? Jaka jest podstawa prawna do jego wniesienia oraz jaki wywołuje skutek?</w:t>
      </w:r>
    </w:p>
    <w:p w:rsidR="001A18B8" w:rsidRPr="001A18B8" w:rsidRDefault="001A18B8" w:rsidP="00130C7E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eastAsiaTheme="minorHAnsi"/>
          <w:b/>
          <w:kern w:val="0"/>
          <w:szCs w:val="22"/>
        </w:rPr>
      </w:pPr>
      <w:r w:rsidRPr="001A18B8">
        <w:rPr>
          <w:rFonts w:eastAsiaTheme="minorHAnsi"/>
          <w:b/>
          <w:kern w:val="0"/>
          <w:szCs w:val="22"/>
        </w:rPr>
        <w:t>Proszę wskazać, jakie orzeczenie powinien wydać sąd po zaskarżeniu postanowienia z 3 lutego 2025 r. (zakładając, że środek zaskarżenia wniesiono w terminie i bez braków formalnych) i z jakich powodów. Proszę również wskazać, czy sąd powinien sporządzić uzasadnienie tego orzeczenia, a jeżeli tak, czy powinno być ono sporządzone z urzędu, czy dopiero na wniosek.</w:t>
      </w:r>
    </w:p>
    <w:bookmarkEnd w:id="0"/>
    <w:p w:rsidR="00453525" w:rsidRDefault="00453525" w:rsidP="00130C7E">
      <w:pPr>
        <w:spacing w:line="276" w:lineRule="auto"/>
      </w:pPr>
    </w:p>
    <w:sectPr w:rsidR="004535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1.1.2025</w:t>
    </w:r>
  </w:p>
  <w:p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130C7E"/>
    <w:rsid w:val="001A18B8"/>
    <w:rsid w:val="0045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2</cp:revision>
  <dcterms:created xsi:type="dcterms:W3CDTF">2025-02-13T09:12:00Z</dcterms:created>
  <dcterms:modified xsi:type="dcterms:W3CDTF">2025-02-13T09:22:00Z</dcterms:modified>
</cp:coreProperties>
</file>