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</w:t>
      </w:r>
    </w:p>
    <w:p w:rsidR="00453525" w:rsidRPr="00A40BE6" w:rsidRDefault="00453525" w:rsidP="00453525">
      <w:pPr>
        <w:spacing w:line="360" w:lineRule="auto"/>
        <w:jc w:val="both"/>
        <w:rPr>
          <w:sz w:val="16"/>
          <w:szCs w:val="16"/>
        </w:rPr>
      </w:pPr>
      <w:r w:rsidRPr="00A40BE6">
        <w:rPr>
          <w:i/>
          <w:sz w:val="16"/>
          <w:szCs w:val="16"/>
        </w:rPr>
        <w:t xml:space="preserve">               imię i nazwisko kandydata</w:t>
      </w:r>
    </w:p>
    <w:p w:rsidR="00453525" w:rsidRPr="005A66A7" w:rsidRDefault="00453525" w:rsidP="00453525">
      <w:pPr>
        <w:spacing w:line="360" w:lineRule="auto"/>
        <w:jc w:val="both"/>
        <w:rPr>
          <w:sz w:val="22"/>
          <w:szCs w:val="22"/>
        </w:rPr>
      </w:pPr>
    </w:p>
    <w:p w:rsidR="00453525" w:rsidRPr="005A66A7" w:rsidRDefault="00453525" w:rsidP="00453525">
      <w:pPr>
        <w:spacing w:line="360" w:lineRule="auto"/>
        <w:jc w:val="both"/>
        <w:rPr>
          <w:b/>
          <w:sz w:val="22"/>
          <w:szCs w:val="22"/>
        </w:rPr>
      </w:pPr>
    </w:p>
    <w:p w:rsidR="00453525" w:rsidRPr="00583C95" w:rsidRDefault="00453525" w:rsidP="00453525">
      <w:pPr>
        <w:spacing w:line="360" w:lineRule="auto"/>
        <w:jc w:val="center"/>
        <w:rPr>
          <w:b/>
          <w:sz w:val="22"/>
          <w:szCs w:val="22"/>
        </w:rPr>
      </w:pPr>
      <w:r w:rsidRPr="00583C95">
        <w:rPr>
          <w:b/>
          <w:sz w:val="22"/>
          <w:szCs w:val="22"/>
        </w:rPr>
        <w:t>PRACA  PISEMNA  Z  ZAKRESU  PRAWA  CYWILNEGO</w:t>
      </w:r>
    </w:p>
    <w:p w:rsidR="00453525" w:rsidRDefault="00453525"/>
    <w:p w:rsidR="00D03F92" w:rsidRDefault="00D03F92"/>
    <w:p w:rsidR="00D03F92" w:rsidRPr="00583C95" w:rsidRDefault="00D03F92"/>
    <w:p w:rsidR="00C2740E" w:rsidRPr="00583C95" w:rsidRDefault="00C2740E" w:rsidP="00D03F92">
      <w:pPr>
        <w:widowControl/>
        <w:suppressAutoHyphens w:val="0"/>
        <w:spacing w:after="160" w:line="276" w:lineRule="auto"/>
        <w:ind w:firstLine="708"/>
        <w:jc w:val="both"/>
        <w:rPr>
          <w:rFonts w:eastAsiaTheme="minorHAnsi"/>
          <w:kern w:val="0"/>
          <w:szCs w:val="22"/>
        </w:rPr>
      </w:pPr>
      <w:r w:rsidRPr="00583C95">
        <w:rPr>
          <w:rFonts w:eastAsiaTheme="minorHAnsi"/>
          <w:kern w:val="0"/>
          <w:szCs w:val="22"/>
        </w:rPr>
        <w:t xml:space="preserve">W sprawie o zapłatę kwoty 30 000 zł wyznaczono rozprawę na dzień 17 stycznia </w:t>
      </w:r>
      <w:r w:rsidR="00830A79">
        <w:rPr>
          <w:rFonts w:eastAsiaTheme="minorHAnsi"/>
          <w:kern w:val="0"/>
          <w:szCs w:val="22"/>
        </w:rPr>
        <w:t xml:space="preserve">                    </w:t>
      </w:r>
      <w:r w:rsidRPr="00583C95">
        <w:rPr>
          <w:rFonts w:eastAsiaTheme="minorHAnsi"/>
          <w:kern w:val="0"/>
          <w:szCs w:val="22"/>
        </w:rPr>
        <w:t xml:space="preserve">2025 r. Przed rozprawą do obu stron skierowano wezwania na termin rozprawy, które doręczono zarówno powodowi, jak i pozwanej w dniu 15 stycznia 2025 r. Na rozprawie w dniu 17 stycznia 2025 r. stawił się tylko powód, a przewodniczący – stwierdzając, że do akt nie wpłynęło od pozwanej przed rozprawą żadne pismo – uznał, że pozwana nie usprawiedliwiła swojej nieobecności. Następnie zamknął rozprawę i zarządził odroczenie ogłoszenia wyroku do dnia 28 lutego </w:t>
      </w:r>
      <w:r w:rsidR="00C05E9B" w:rsidRPr="00583C95">
        <w:rPr>
          <w:rFonts w:eastAsiaTheme="minorHAnsi"/>
          <w:kern w:val="0"/>
          <w:szCs w:val="22"/>
        </w:rPr>
        <w:t xml:space="preserve"> </w:t>
      </w:r>
      <w:r w:rsidRPr="00583C95">
        <w:rPr>
          <w:rFonts w:eastAsiaTheme="minorHAnsi"/>
          <w:kern w:val="0"/>
          <w:szCs w:val="22"/>
        </w:rPr>
        <w:t xml:space="preserve">2025 r. W dniu 28 lutego 2025 r. na posiedzenie w przedmiocie ogłoszenia wyroku stawiła się pozwana, która oświadczyła, że nie brała udziału w rozprawie wyznaczonej na 17 stycznia </w:t>
      </w:r>
      <w:r w:rsidR="00C05E9B" w:rsidRPr="00583C95">
        <w:rPr>
          <w:rFonts w:eastAsiaTheme="minorHAnsi"/>
          <w:kern w:val="0"/>
          <w:szCs w:val="22"/>
        </w:rPr>
        <w:t xml:space="preserve"> </w:t>
      </w:r>
      <w:r w:rsidRPr="00583C95">
        <w:rPr>
          <w:rFonts w:eastAsiaTheme="minorHAnsi"/>
          <w:kern w:val="0"/>
          <w:szCs w:val="22"/>
        </w:rPr>
        <w:t xml:space="preserve">2025 r., ponieważ nie udało jej się w tak krótkim czasie, jaki upłynął od dnia, w którym dowiedziała się o rozprawie, zorganizować pomocy przy opiece nad kilkumiesięcznym dzieckiem. Wniosła więc o otwarcie zamkniętej rozprawy na nowo, ponieważ chce zgłosić dowody przesądzające o braku zasadności powództwa oraz chciałaby zostać przesłuchana przez sąd. Przewodniczący stwierdził, że nie ma podstaw do ponownego otwarcia zamkniętej rozprawy i zarządzeniem oddalił ten wniosek. Następnie oznajmił pozwanej, że przed chwilą sporządził i podpisał wyrok, który znajduje się w aktach sprawy. </w:t>
      </w:r>
      <w:r w:rsidR="00273CCB">
        <w:rPr>
          <w:rFonts w:eastAsiaTheme="minorHAnsi"/>
          <w:kern w:val="0"/>
          <w:szCs w:val="22"/>
        </w:rPr>
        <w:t xml:space="preserve">            </w:t>
      </w:r>
      <w:r w:rsidRPr="00583C95">
        <w:rPr>
          <w:rFonts w:eastAsiaTheme="minorHAnsi"/>
          <w:kern w:val="0"/>
          <w:szCs w:val="22"/>
        </w:rPr>
        <w:t xml:space="preserve">W odpowiedzi na pytanie pozwanej o treść wyroku stwierdził, że treść ta nie musi być </w:t>
      </w:r>
      <w:r w:rsidR="00273CCB">
        <w:rPr>
          <w:rFonts w:eastAsiaTheme="minorHAnsi"/>
          <w:kern w:val="0"/>
          <w:szCs w:val="22"/>
        </w:rPr>
        <w:t xml:space="preserve">                             </w:t>
      </w:r>
      <w:bookmarkStart w:id="0" w:name="_GoBack"/>
      <w:bookmarkEnd w:id="0"/>
      <w:r w:rsidRPr="00583C95">
        <w:rPr>
          <w:rFonts w:eastAsiaTheme="minorHAnsi"/>
          <w:kern w:val="0"/>
          <w:szCs w:val="22"/>
        </w:rPr>
        <w:t>w okolicznościach sprawy odczytywana i zarządził odstąpienie od odczytania sentencji oraz podawania zasadniczych powodów rozstrzygnięcia. Tłumacząc, z jakiego powodu wydał to zarządzenie, stwierdził,</w:t>
      </w:r>
      <w:r w:rsidR="00273CCB">
        <w:rPr>
          <w:rFonts w:eastAsiaTheme="minorHAnsi"/>
          <w:kern w:val="0"/>
          <w:szCs w:val="22"/>
        </w:rPr>
        <w:t xml:space="preserve"> </w:t>
      </w:r>
      <w:r w:rsidRPr="00583C95">
        <w:rPr>
          <w:rFonts w:eastAsiaTheme="minorHAnsi"/>
          <w:kern w:val="0"/>
          <w:szCs w:val="22"/>
        </w:rPr>
        <w:t xml:space="preserve">że skoro pozwana nie wzięła udziału w posiedzeniu, na którym zamknięto rozprawę, nie jest konieczne odczytywanie jej sentencji wyroku, a wyrok należy uznawać w związku z tym za ogłoszony z chwilą zakończenia posiedzenia. Pozwana w dniu </w:t>
      </w:r>
      <w:r w:rsidR="00830A79">
        <w:rPr>
          <w:rFonts w:eastAsiaTheme="minorHAnsi"/>
          <w:kern w:val="0"/>
          <w:szCs w:val="22"/>
        </w:rPr>
        <w:t xml:space="preserve">              </w:t>
      </w:r>
      <w:r w:rsidRPr="00583C95">
        <w:rPr>
          <w:rFonts w:eastAsiaTheme="minorHAnsi"/>
          <w:kern w:val="0"/>
          <w:szCs w:val="22"/>
        </w:rPr>
        <w:t xml:space="preserve">3 marca 2025 r. złożyła wniosek o sporządzenie uzasadnienia wyroku z 28 lutego 2025 r. oraz doręczenie tego wyroku </w:t>
      </w:r>
      <w:r w:rsidR="00525356" w:rsidRPr="00583C95">
        <w:rPr>
          <w:rFonts w:eastAsiaTheme="minorHAnsi"/>
          <w:kern w:val="0"/>
          <w:szCs w:val="22"/>
        </w:rPr>
        <w:t xml:space="preserve"> </w:t>
      </w:r>
      <w:r w:rsidRPr="00583C95">
        <w:rPr>
          <w:rFonts w:eastAsiaTheme="minorHAnsi"/>
          <w:kern w:val="0"/>
          <w:szCs w:val="22"/>
        </w:rPr>
        <w:t>z uzasadnieniem, uiszczając opłatę sądową w kwocie 100 zł.</w:t>
      </w:r>
    </w:p>
    <w:p w:rsidR="00C2740E" w:rsidRPr="00583C95" w:rsidRDefault="00C2740E" w:rsidP="00C2740E">
      <w:pPr>
        <w:widowControl/>
        <w:suppressAutoHyphens w:val="0"/>
        <w:spacing w:after="160" w:line="276" w:lineRule="auto"/>
        <w:jc w:val="both"/>
        <w:rPr>
          <w:rFonts w:eastAsiaTheme="minorHAnsi"/>
          <w:kern w:val="0"/>
          <w:szCs w:val="22"/>
        </w:rPr>
      </w:pPr>
    </w:p>
    <w:p w:rsidR="00C2740E" w:rsidRPr="00583C95" w:rsidRDefault="00C2740E" w:rsidP="00C2740E">
      <w:pPr>
        <w:widowControl/>
        <w:numPr>
          <w:ilvl w:val="0"/>
          <w:numId w:val="2"/>
        </w:numPr>
        <w:suppressAutoHyphens w:val="0"/>
        <w:spacing w:after="160" w:line="276" w:lineRule="auto"/>
        <w:contextualSpacing/>
        <w:jc w:val="both"/>
        <w:rPr>
          <w:rFonts w:eastAsiaTheme="minorHAnsi"/>
          <w:b/>
          <w:kern w:val="0"/>
          <w:szCs w:val="22"/>
        </w:rPr>
      </w:pPr>
      <w:r w:rsidRPr="00583C95">
        <w:rPr>
          <w:rFonts w:eastAsiaTheme="minorHAnsi"/>
          <w:b/>
          <w:kern w:val="0"/>
          <w:szCs w:val="22"/>
        </w:rPr>
        <w:t xml:space="preserve">Czy sąd lub przewodniczący dopuścił się naruszeń przepisów prawa procesowego? Jeżeli tak, proszę opisać, na czym one polegały oraz wymienić przepisy, które naruszono. </w:t>
      </w:r>
    </w:p>
    <w:p w:rsidR="00C2740E" w:rsidRPr="00583C95" w:rsidRDefault="00C2740E" w:rsidP="00C2740E">
      <w:pPr>
        <w:widowControl/>
        <w:suppressAutoHyphens w:val="0"/>
        <w:spacing w:after="160" w:line="276" w:lineRule="auto"/>
        <w:ind w:left="720"/>
        <w:contextualSpacing/>
        <w:jc w:val="both"/>
        <w:rPr>
          <w:rFonts w:eastAsiaTheme="minorHAnsi"/>
          <w:color w:val="4472C4" w:themeColor="accent1"/>
          <w:kern w:val="0"/>
          <w:szCs w:val="22"/>
        </w:rPr>
      </w:pPr>
    </w:p>
    <w:p w:rsidR="00C2740E" w:rsidRPr="00583C95" w:rsidRDefault="00C2740E" w:rsidP="00C2740E">
      <w:pPr>
        <w:widowControl/>
        <w:numPr>
          <w:ilvl w:val="0"/>
          <w:numId w:val="2"/>
        </w:numPr>
        <w:suppressAutoHyphens w:val="0"/>
        <w:spacing w:after="160" w:line="276" w:lineRule="auto"/>
        <w:contextualSpacing/>
        <w:jc w:val="both"/>
        <w:rPr>
          <w:rFonts w:eastAsiaTheme="minorHAnsi"/>
          <w:b/>
          <w:kern w:val="0"/>
          <w:szCs w:val="22"/>
        </w:rPr>
      </w:pPr>
      <w:r w:rsidRPr="00583C95">
        <w:rPr>
          <w:rFonts w:eastAsiaTheme="minorHAnsi"/>
          <w:b/>
          <w:kern w:val="0"/>
          <w:szCs w:val="22"/>
        </w:rPr>
        <w:t>Jaką decyzję podejmie sąd w przedmiocie wniosku pozwanej o sporządzenie uzasadnienia oraz doręczenie wyroku z uzasadnieniem? Proszę wskazać podstawę prawną.</w:t>
      </w:r>
    </w:p>
    <w:p w:rsidR="00453525" w:rsidRDefault="00453525" w:rsidP="00C2740E">
      <w:pPr>
        <w:widowControl/>
        <w:suppressAutoHyphens w:val="0"/>
        <w:spacing w:after="160" w:line="276" w:lineRule="auto"/>
        <w:jc w:val="both"/>
      </w:pPr>
    </w:p>
    <w:sectPr w:rsidR="004535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525" w:rsidRDefault="00453525" w:rsidP="00453525">
      <w:r>
        <w:separator/>
      </w:r>
    </w:p>
  </w:endnote>
  <w:endnote w:type="continuationSeparator" w:id="0">
    <w:p w:rsidR="00453525" w:rsidRDefault="00453525" w:rsidP="0045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40E" w:rsidRDefault="00C274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40E" w:rsidRDefault="00C274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40E" w:rsidRDefault="00C274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525" w:rsidRDefault="00453525" w:rsidP="00453525">
      <w:r>
        <w:separator/>
      </w:r>
    </w:p>
  </w:footnote>
  <w:footnote w:type="continuationSeparator" w:id="0">
    <w:p w:rsidR="00453525" w:rsidRDefault="00453525" w:rsidP="00453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40E" w:rsidRDefault="00C274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525" w:rsidRPr="001717EB" w:rsidRDefault="00453525" w:rsidP="00453525">
    <w:pPr>
      <w:spacing w:line="276" w:lineRule="auto"/>
      <w:jc w:val="right"/>
      <w:rPr>
        <w:b/>
        <w:sz w:val="22"/>
        <w:szCs w:val="22"/>
      </w:rPr>
    </w:pPr>
    <w:proofErr w:type="spellStart"/>
    <w:r w:rsidRPr="001717EB">
      <w:rPr>
        <w:b/>
        <w:sz w:val="22"/>
        <w:szCs w:val="22"/>
      </w:rPr>
      <w:t>Kd</w:t>
    </w:r>
    <w:proofErr w:type="spellEnd"/>
    <w:r w:rsidRPr="001717EB">
      <w:rPr>
        <w:b/>
        <w:sz w:val="22"/>
        <w:szCs w:val="22"/>
      </w:rPr>
      <w:t>. 110</w:t>
    </w:r>
    <w:r>
      <w:rPr>
        <w:b/>
        <w:sz w:val="22"/>
        <w:szCs w:val="22"/>
      </w:rPr>
      <w:t>1.</w:t>
    </w:r>
    <w:r w:rsidR="00C2740E">
      <w:rPr>
        <w:b/>
        <w:sz w:val="22"/>
        <w:szCs w:val="22"/>
      </w:rPr>
      <w:t>3</w:t>
    </w:r>
    <w:r>
      <w:rPr>
        <w:b/>
        <w:sz w:val="22"/>
        <w:szCs w:val="22"/>
      </w:rPr>
      <w:t>.2025</w:t>
    </w:r>
  </w:p>
  <w:p w:rsidR="00453525" w:rsidRDefault="0045352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740E" w:rsidRDefault="00C274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02804"/>
    <w:multiLevelType w:val="hybridMultilevel"/>
    <w:tmpl w:val="303A6702"/>
    <w:lvl w:ilvl="0" w:tplc="FCC822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5602C"/>
    <w:multiLevelType w:val="hybridMultilevel"/>
    <w:tmpl w:val="863C4BF0"/>
    <w:lvl w:ilvl="0" w:tplc="ACD88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525"/>
    <w:rsid w:val="00051336"/>
    <w:rsid w:val="00130C7E"/>
    <w:rsid w:val="001A18B8"/>
    <w:rsid w:val="00273CCB"/>
    <w:rsid w:val="002E35AD"/>
    <w:rsid w:val="00453525"/>
    <w:rsid w:val="00525356"/>
    <w:rsid w:val="00583C95"/>
    <w:rsid w:val="00830A79"/>
    <w:rsid w:val="00C05E9B"/>
    <w:rsid w:val="00C2740E"/>
    <w:rsid w:val="00D0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2F4FF"/>
  <w15:chartTrackingRefBased/>
  <w15:docId w15:val="{56EA597F-022B-4CE7-8B2E-9BB204A02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5352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535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525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Polakowska Marta</dc:creator>
  <cp:keywords/>
  <dc:description/>
  <cp:lastModifiedBy>Kloc Katarzyna</cp:lastModifiedBy>
  <cp:revision>5</cp:revision>
  <cp:lastPrinted>2025-03-26T10:49:00Z</cp:lastPrinted>
  <dcterms:created xsi:type="dcterms:W3CDTF">2025-03-26T09:12:00Z</dcterms:created>
  <dcterms:modified xsi:type="dcterms:W3CDTF">2025-03-26T10:49:00Z</dcterms:modified>
</cp:coreProperties>
</file>